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F9D1C" w14:textId="77777777" w:rsidR="00B8709E" w:rsidRPr="00F12F32" w:rsidRDefault="00B8709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bookmarkStart w:id="0" w:name="_GoBack"/>
      <w:bookmarkEnd w:id="0"/>
    </w:p>
    <w:p w14:paraId="6C5B098B" w14:textId="77777777" w:rsidR="00B8709E" w:rsidRPr="00F12F32" w:rsidRDefault="00B8709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7B8A198C" w14:textId="77777777" w:rsidR="00B8709E" w:rsidRPr="00F12F32" w:rsidRDefault="00B8709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15F53EBC" w14:textId="77777777" w:rsidR="00053181" w:rsidRPr="00F12F32" w:rsidRDefault="00053181" w:rsidP="00F12F32">
      <w:pPr>
        <w:shd w:val="clear" w:color="auto" w:fill="FFFFFF"/>
        <w:spacing w:line="276" w:lineRule="auto"/>
        <w:jc w:val="both"/>
        <w:rPr>
          <w:rFonts w:ascii="Century Gothic" w:hAnsi="Century Gothic" w:cs="Arial"/>
          <w:bCs/>
          <w:lang w:eastAsia="es-CO"/>
        </w:rPr>
      </w:pPr>
    </w:p>
    <w:p w14:paraId="7C74664B" w14:textId="2964AFFE" w:rsidR="00053181" w:rsidRPr="00F12F32" w:rsidRDefault="00053181" w:rsidP="00F12F32">
      <w:pPr>
        <w:shd w:val="clear" w:color="auto" w:fill="FFFFFF"/>
        <w:spacing w:line="276" w:lineRule="auto"/>
        <w:jc w:val="both"/>
        <w:rPr>
          <w:rFonts w:ascii="Century Gothic" w:hAnsi="Century Gothic" w:cs="Arial"/>
          <w:bCs/>
          <w:lang w:eastAsia="es-CO"/>
        </w:rPr>
      </w:pPr>
      <w:r w:rsidRPr="00F12F32">
        <w:rPr>
          <w:rFonts w:ascii="Century Gothic" w:hAnsi="Century Gothic" w:cs="Arial"/>
          <w:bCs/>
          <w:lang w:eastAsia="es-CO"/>
        </w:rPr>
        <w:t>Bogotá D.C., noviembre de 2021</w:t>
      </w:r>
    </w:p>
    <w:p w14:paraId="18854DB3" w14:textId="77777777" w:rsidR="00053181" w:rsidRPr="00F12F32" w:rsidRDefault="00053181" w:rsidP="00F12F32">
      <w:pPr>
        <w:shd w:val="clear" w:color="auto" w:fill="FFFFFF"/>
        <w:spacing w:line="276" w:lineRule="auto"/>
        <w:jc w:val="both"/>
        <w:rPr>
          <w:rFonts w:ascii="Century Gothic" w:hAnsi="Century Gothic" w:cs="Arial"/>
          <w:bCs/>
          <w:lang w:eastAsia="es-CO"/>
        </w:rPr>
      </w:pPr>
    </w:p>
    <w:p w14:paraId="4D0288A5" w14:textId="77777777" w:rsidR="00053181" w:rsidRPr="00F12F32" w:rsidRDefault="00053181" w:rsidP="00F12F32">
      <w:pPr>
        <w:spacing w:line="276" w:lineRule="auto"/>
        <w:jc w:val="both"/>
        <w:rPr>
          <w:rFonts w:ascii="Century Gothic" w:hAnsi="Century Gothic" w:cstheme="minorHAnsi"/>
        </w:rPr>
      </w:pPr>
      <w:r w:rsidRPr="00F12F32">
        <w:rPr>
          <w:rFonts w:ascii="Century Gothic" w:hAnsi="Century Gothic" w:cstheme="minorHAnsi"/>
        </w:rPr>
        <w:t>Honorable Representante</w:t>
      </w:r>
    </w:p>
    <w:p w14:paraId="7540F9C1" w14:textId="77777777" w:rsidR="00053181" w:rsidRPr="00F12F32" w:rsidRDefault="00053181" w:rsidP="00F12F32">
      <w:pPr>
        <w:spacing w:line="276" w:lineRule="auto"/>
        <w:jc w:val="both"/>
        <w:rPr>
          <w:rFonts w:ascii="Century Gothic" w:hAnsi="Century Gothic" w:cstheme="minorHAnsi"/>
          <w:b/>
          <w:bCs/>
        </w:rPr>
      </w:pPr>
      <w:r w:rsidRPr="00F12F32">
        <w:rPr>
          <w:rFonts w:ascii="Century Gothic" w:hAnsi="Century Gothic" w:cstheme="minorHAnsi"/>
          <w:b/>
          <w:bCs/>
        </w:rPr>
        <w:t xml:space="preserve">JULIO CÉSAR TRIANA QUINTERO </w:t>
      </w:r>
    </w:p>
    <w:p w14:paraId="58BA5CD2" w14:textId="77777777" w:rsidR="00053181" w:rsidRPr="00F12F32" w:rsidRDefault="00053181" w:rsidP="00F12F32">
      <w:pPr>
        <w:spacing w:line="276" w:lineRule="auto"/>
        <w:jc w:val="both"/>
        <w:rPr>
          <w:rFonts w:ascii="Century Gothic" w:hAnsi="Century Gothic" w:cstheme="minorHAnsi"/>
        </w:rPr>
      </w:pPr>
      <w:r w:rsidRPr="00F12F32">
        <w:rPr>
          <w:rFonts w:ascii="Century Gothic" w:hAnsi="Century Gothic" w:cstheme="minorHAnsi"/>
        </w:rPr>
        <w:t>Presidente</w:t>
      </w:r>
    </w:p>
    <w:p w14:paraId="0087B9F0" w14:textId="77777777" w:rsidR="00053181" w:rsidRPr="00F12F32" w:rsidRDefault="00053181" w:rsidP="00F12F32">
      <w:pPr>
        <w:spacing w:line="276" w:lineRule="auto"/>
        <w:jc w:val="both"/>
        <w:rPr>
          <w:rFonts w:ascii="Century Gothic" w:hAnsi="Century Gothic" w:cstheme="minorHAnsi"/>
          <w:b/>
          <w:bCs/>
        </w:rPr>
      </w:pPr>
      <w:r w:rsidRPr="00F12F32">
        <w:rPr>
          <w:rFonts w:ascii="Century Gothic" w:hAnsi="Century Gothic" w:cstheme="minorHAnsi"/>
          <w:b/>
          <w:bCs/>
        </w:rPr>
        <w:t>Comisión Primera Constitucional</w:t>
      </w:r>
    </w:p>
    <w:p w14:paraId="71F4D0E6" w14:textId="77777777" w:rsidR="00053181" w:rsidRPr="00F12F32" w:rsidRDefault="00053181" w:rsidP="00F12F32">
      <w:pPr>
        <w:spacing w:line="276" w:lineRule="auto"/>
        <w:jc w:val="both"/>
        <w:rPr>
          <w:rFonts w:ascii="Century Gothic" w:hAnsi="Century Gothic" w:cstheme="minorHAnsi"/>
        </w:rPr>
      </w:pPr>
      <w:r w:rsidRPr="00F12F32">
        <w:rPr>
          <w:rFonts w:ascii="Century Gothic" w:hAnsi="Century Gothic" w:cstheme="minorHAnsi"/>
        </w:rPr>
        <w:t>Cámara de Representantes</w:t>
      </w:r>
    </w:p>
    <w:p w14:paraId="57FF07E8" w14:textId="57513712" w:rsidR="00053181" w:rsidRPr="00F12F32" w:rsidRDefault="00256EE4" w:rsidP="00F12F32">
      <w:pPr>
        <w:spacing w:line="276" w:lineRule="auto"/>
        <w:jc w:val="both"/>
        <w:rPr>
          <w:rFonts w:ascii="Century Gothic" w:hAnsi="Century Gothic" w:cstheme="minorHAnsi"/>
        </w:rPr>
      </w:pPr>
      <w:r>
        <w:rPr>
          <w:rFonts w:ascii="Century Gothic" w:hAnsi="Century Gothic" w:cstheme="minorHAnsi"/>
        </w:rPr>
        <w:t>Ciudad</w:t>
      </w:r>
    </w:p>
    <w:p w14:paraId="79263F5E" w14:textId="77777777" w:rsidR="00B8709E" w:rsidRPr="00F12F32" w:rsidRDefault="00B8709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4B59E4E5" w14:textId="77777777" w:rsidR="00B8709E" w:rsidRPr="00F12F32" w:rsidRDefault="00B8709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1FA59A21" w14:textId="23C0B710" w:rsidR="00B8709E" w:rsidRPr="00256EE4" w:rsidRDefault="002F5969"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left="1416"/>
        <w:jc w:val="both"/>
        <w:rPr>
          <w:rFonts w:ascii="Century Gothic" w:hAnsi="Century Gothic"/>
          <w:i/>
        </w:rPr>
      </w:pPr>
      <w:r w:rsidRPr="00F12F32">
        <w:rPr>
          <w:rFonts w:ascii="Century Gothic" w:hAnsi="Century Gothic"/>
          <w:b/>
        </w:rPr>
        <w:tab/>
      </w:r>
      <w:r w:rsidR="00B8709E" w:rsidRPr="00F12F32">
        <w:rPr>
          <w:rFonts w:ascii="Century Gothic" w:hAnsi="Century Gothic"/>
          <w:b/>
        </w:rPr>
        <w:t xml:space="preserve">Asunto: </w:t>
      </w:r>
      <w:r w:rsidR="00B8709E" w:rsidRPr="00F12F32">
        <w:rPr>
          <w:rFonts w:ascii="Century Gothic" w:hAnsi="Century Gothic"/>
        </w:rPr>
        <w:t xml:space="preserve">Informe de ponencia </w:t>
      </w:r>
      <w:r w:rsidR="00053181" w:rsidRPr="00F12F32">
        <w:rPr>
          <w:rFonts w:ascii="Century Gothic" w:hAnsi="Century Gothic"/>
        </w:rPr>
        <w:t xml:space="preserve">de archivo </w:t>
      </w:r>
      <w:r w:rsidR="00B8709E" w:rsidRPr="00F12F32">
        <w:rPr>
          <w:rFonts w:ascii="Century Gothic" w:hAnsi="Century Gothic"/>
        </w:rPr>
        <w:t xml:space="preserve">para </w:t>
      </w:r>
      <w:r w:rsidR="00544E6E" w:rsidRPr="00F12F32">
        <w:rPr>
          <w:rFonts w:ascii="Century Gothic" w:hAnsi="Century Gothic"/>
        </w:rPr>
        <w:t>segundo</w:t>
      </w:r>
      <w:r w:rsidR="00B8709E" w:rsidRPr="00F12F32">
        <w:rPr>
          <w:rFonts w:ascii="Century Gothic" w:hAnsi="Century Gothic"/>
        </w:rPr>
        <w:t xml:space="preserve"> debate </w:t>
      </w:r>
      <w:r w:rsidR="00053181" w:rsidRPr="00F12F32">
        <w:rPr>
          <w:rFonts w:ascii="Century Gothic" w:hAnsi="Century Gothic"/>
        </w:rPr>
        <w:t xml:space="preserve">al </w:t>
      </w:r>
      <w:r w:rsidR="00B8709E" w:rsidRPr="00F12F32">
        <w:rPr>
          <w:rFonts w:ascii="Century Gothic" w:hAnsi="Century Gothic"/>
        </w:rPr>
        <w:t>PLE 143 de 2021 C</w:t>
      </w:r>
      <w:r w:rsidR="00053181" w:rsidRPr="00F12F32">
        <w:rPr>
          <w:rFonts w:ascii="Century Gothic" w:hAnsi="Century Gothic"/>
        </w:rPr>
        <w:t>ámara</w:t>
      </w:r>
      <w:r w:rsidRPr="00F12F32">
        <w:rPr>
          <w:rFonts w:ascii="Century Gothic" w:hAnsi="Century Gothic"/>
        </w:rPr>
        <w:t xml:space="preserve"> </w:t>
      </w:r>
      <w:r w:rsidR="00B8709E" w:rsidRPr="00F12F32">
        <w:rPr>
          <w:rFonts w:ascii="Century Gothic" w:eastAsia="Helvetica" w:hAnsi="Century Gothic" w:cs="Helvetica"/>
        </w:rPr>
        <w:t>“</w:t>
      </w:r>
      <w:r w:rsidR="00B8709E" w:rsidRPr="00256EE4">
        <w:rPr>
          <w:rFonts w:ascii="Century Gothic" w:eastAsia="Helvetica" w:hAnsi="Century Gothic" w:cs="Helvetica"/>
          <w:i/>
        </w:rPr>
        <w:t>Por la cual se crea una especialidad judicial agraria y rural, se establecen los mecanismos para la resolución de controversias y litigios agrarios y rurales y se dictan ot</w:t>
      </w:r>
      <w:r w:rsidR="00B8709E" w:rsidRPr="00256EE4">
        <w:rPr>
          <w:rFonts w:ascii="Century Gothic" w:hAnsi="Century Gothic"/>
          <w:i/>
        </w:rPr>
        <w:t>ras disposiciones</w:t>
      </w:r>
      <w:r w:rsidR="00B8709E" w:rsidRPr="00256EE4">
        <w:rPr>
          <w:rFonts w:ascii="Century Gothic" w:eastAsia="Helvetica" w:hAnsi="Century Gothic" w:cs="Helvetica"/>
          <w:i/>
        </w:rPr>
        <w:t>” </w:t>
      </w:r>
    </w:p>
    <w:p w14:paraId="2F16B6C9" w14:textId="77777777" w:rsidR="00B8709E" w:rsidRPr="00256EE4" w:rsidRDefault="00B8709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i/>
        </w:rPr>
      </w:pPr>
    </w:p>
    <w:p w14:paraId="17B0ADFC" w14:textId="77777777" w:rsidR="00E85348" w:rsidRPr="00F12F32" w:rsidRDefault="00E85348"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156F0BD9" w14:textId="683683E2" w:rsidR="00B8709E" w:rsidRPr="00F12F32" w:rsidRDefault="0041410F"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r w:rsidRPr="00F12F32">
        <w:rPr>
          <w:rFonts w:ascii="Century Gothic" w:hAnsi="Century Gothic"/>
        </w:rPr>
        <w:t>Respetado Presidente</w:t>
      </w:r>
      <w:r w:rsidR="00B8709E" w:rsidRPr="00F12F32">
        <w:rPr>
          <w:rFonts w:ascii="Century Gothic" w:hAnsi="Century Gothic"/>
        </w:rPr>
        <w:t>,</w:t>
      </w:r>
    </w:p>
    <w:p w14:paraId="700F6467" w14:textId="77777777" w:rsidR="00E85348" w:rsidRPr="00F12F32" w:rsidRDefault="00E85348"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66ECEADA" w14:textId="77777777" w:rsidR="00544E6E" w:rsidRPr="00F12F32" w:rsidRDefault="00544E6E" w:rsidP="00F12F32">
      <w:pPr>
        <w:spacing w:line="276" w:lineRule="auto"/>
        <w:jc w:val="both"/>
        <w:rPr>
          <w:rFonts w:ascii="Century Gothic" w:hAnsi="Century Gothic"/>
        </w:rPr>
      </w:pPr>
    </w:p>
    <w:p w14:paraId="35A31DAF" w14:textId="4D9D5241" w:rsidR="00B8709E" w:rsidRPr="00F12F32" w:rsidRDefault="00544E6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r w:rsidRPr="00F12F32">
        <w:rPr>
          <w:rFonts w:ascii="Century Gothic" w:hAnsi="Century Gothic"/>
        </w:rPr>
        <w:t xml:space="preserve">En cumplimiento </w:t>
      </w:r>
      <w:r w:rsidR="00C429C3" w:rsidRPr="00F12F32">
        <w:rPr>
          <w:rFonts w:ascii="Century Gothic" w:hAnsi="Century Gothic"/>
        </w:rPr>
        <w:t>del encargo hecho</w:t>
      </w:r>
      <w:r w:rsidRPr="00F12F32">
        <w:rPr>
          <w:rFonts w:ascii="Century Gothic" w:eastAsia="Helvetica" w:hAnsi="Century Gothic" w:cs="Helvetica"/>
        </w:rPr>
        <w:t xml:space="preserve"> por la Mesa Directiva de la Comisión Primera Constitucional de la Cámara de Repres</w:t>
      </w:r>
      <w:r w:rsidRPr="00F12F32">
        <w:rPr>
          <w:rFonts w:ascii="Century Gothic" w:eastAsia="Helvetica" w:hAnsi="Century Gothic"/>
        </w:rPr>
        <w:t>entantes y de acuerdo con las disposiciones contenidas en la Ley 5</w:t>
      </w:r>
      <w:r w:rsidRPr="00F12F32">
        <w:rPr>
          <w:rFonts w:ascii="Century Gothic" w:eastAsia="Helvetica" w:hAnsi="Century Gothic" w:cs="Helvetica"/>
        </w:rPr>
        <w:t xml:space="preserve">ª de 1992, </w:t>
      </w:r>
      <w:r w:rsidR="00C429C3" w:rsidRPr="00F12F32">
        <w:rPr>
          <w:rFonts w:ascii="Century Gothic" w:eastAsia="Helvetica" w:hAnsi="Century Gothic" w:cs="Helvetica"/>
        </w:rPr>
        <w:t>me permito</w:t>
      </w:r>
      <w:r w:rsidR="00B8709E" w:rsidRPr="00F12F32">
        <w:rPr>
          <w:rFonts w:ascii="Century Gothic" w:eastAsia="Helvetica" w:hAnsi="Century Gothic" w:cs="Helvetica"/>
        </w:rPr>
        <w:t xml:space="preserve"> rendir ponencia</w:t>
      </w:r>
      <w:r w:rsidR="007A4103" w:rsidRPr="00F12F32">
        <w:rPr>
          <w:rFonts w:ascii="Century Gothic" w:eastAsia="Helvetica" w:hAnsi="Century Gothic" w:cs="Helvetica"/>
        </w:rPr>
        <w:t xml:space="preserve"> de archivo </w:t>
      </w:r>
      <w:r w:rsidR="00B8709E" w:rsidRPr="00F12F32">
        <w:rPr>
          <w:rFonts w:ascii="Century Gothic" w:eastAsia="Helvetica" w:hAnsi="Century Gothic" w:cs="Helvetica"/>
        </w:rPr>
        <w:t xml:space="preserve">para </w:t>
      </w:r>
      <w:r w:rsidR="007A4103" w:rsidRPr="00F12F32">
        <w:rPr>
          <w:rFonts w:ascii="Century Gothic" w:eastAsia="Helvetica" w:hAnsi="Century Gothic" w:cs="Helvetica"/>
        </w:rPr>
        <w:t>segundo</w:t>
      </w:r>
      <w:r w:rsidR="00B8709E" w:rsidRPr="00F12F32">
        <w:rPr>
          <w:rFonts w:ascii="Century Gothic" w:eastAsia="Helvetica" w:hAnsi="Century Gothic" w:cs="Helvetica"/>
        </w:rPr>
        <w:t xml:space="preserve"> debate en </w:t>
      </w:r>
      <w:r w:rsidR="00197309" w:rsidRPr="00F12F32">
        <w:rPr>
          <w:rFonts w:ascii="Century Gothic" w:eastAsia="Helvetica" w:hAnsi="Century Gothic" w:cs="Helvetica"/>
        </w:rPr>
        <w:t xml:space="preserve">Cámara </w:t>
      </w:r>
      <w:r w:rsidR="007A4103" w:rsidRPr="00F12F32">
        <w:rPr>
          <w:rFonts w:ascii="Century Gothic" w:eastAsia="Helvetica" w:hAnsi="Century Gothic" w:cs="Helvetica"/>
        </w:rPr>
        <w:t>al P</w:t>
      </w:r>
      <w:r w:rsidR="00B8709E" w:rsidRPr="00F12F32">
        <w:rPr>
          <w:rFonts w:ascii="Century Gothic" w:eastAsia="Helvetica" w:hAnsi="Century Gothic" w:cs="Helvetica"/>
        </w:rPr>
        <w:t>royecto d</w:t>
      </w:r>
      <w:r w:rsidR="007A4103" w:rsidRPr="00F12F32">
        <w:rPr>
          <w:rFonts w:ascii="Century Gothic" w:hAnsi="Century Gothic"/>
        </w:rPr>
        <w:t>e Ley E</w:t>
      </w:r>
      <w:r w:rsidR="00B8709E" w:rsidRPr="00F12F32">
        <w:rPr>
          <w:rFonts w:ascii="Century Gothic" w:hAnsi="Century Gothic"/>
        </w:rPr>
        <w:t xml:space="preserve">statutaria </w:t>
      </w:r>
      <w:r w:rsidR="007A4103" w:rsidRPr="00F12F32">
        <w:rPr>
          <w:rFonts w:ascii="Century Gothic" w:hAnsi="Century Gothic"/>
        </w:rPr>
        <w:t xml:space="preserve">143 de 2021 Cámara </w:t>
      </w:r>
      <w:r w:rsidR="007A4103" w:rsidRPr="00F12F32">
        <w:rPr>
          <w:rFonts w:ascii="Century Gothic" w:eastAsia="Helvetica" w:hAnsi="Century Gothic" w:cs="Helvetica"/>
        </w:rPr>
        <w:t>“</w:t>
      </w:r>
      <w:r w:rsidR="007A4103" w:rsidRPr="00256EE4">
        <w:rPr>
          <w:rFonts w:ascii="Century Gothic" w:eastAsia="Helvetica" w:hAnsi="Century Gothic" w:cs="Helvetica"/>
          <w:i/>
        </w:rPr>
        <w:t>Por la cual se crea una especialidad judicial agraria y rural, se establecen los mecanismos para la resolución de controversias y litigios agrarios y rurales y se dictan ot</w:t>
      </w:r>
      <w:r w:rsidR="007A4103" w:rsidRPr="00256EE4">
        <w:rPr>
          <w:rFonts w:ascii="Century Gothic" w:hAnsi="Century Gothic"/>
          <w:i/>
        </w:rPr>
        <w:t>ras disposiciones</w:t>
      </w:r>
      <w:r w:rsidR="007A4103" w:rsidRPr="00F12F32">
        <w:rPr>
          <w:rFonts w:ascii="Century Gothic" w:eastAsia="Helvetica" w:hAnsi="Century Gothic" w:cs="Helvetica"/>
        </w:rPr>
        <w:t>”. </w:t>
      </w:r>
    </w:p>
    <w:p w14:paraId="39C8BA5C" w14:textId="77777777" w:rsidR="0041410F" w:rsidRPr="00F12F32" w:rsidRDefault="0041410F"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64A233E9" w14:textId="77777777" w:rsidR="0041410F" w:rsidRPr="00F12F32" w:rsidRDefault="0041410F"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74AE1A68" w14:textId="6CECAB5A" w:rsidR="000C78B1" w:rsidRPr="00F12F32" w:rsidRDefault="000C78B1" w:rsidP="00F12F32">
      <w:pPr>
        <w:spacing w:line="276" w:lineRule="auto"/>
        <w:jc w:val="both"/>
        <w:rPr>
          <w:rFonts w:ascii="Century Gothic" w:hAnsi="Century Gothic"/>
        </w:rPr>
      </w:pPr>
      <w:r w:rsidRPr="00F12F32">
        <w:rPr>
          <w:rFonts w:ascii="Century Gothic" w:hAnsi="Century Gothic"/>
        </w:rPr>
        <w:br w:type="page"/>
      </w:r>
    </w:p>
    <w:p w14:paraId="175B7DFA" w14:textId="13969508" w:rsidR="00E85348" w:rsidRPr="00F12F32" w:rsidRDefault="00E85348"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Garamond" w:hAnsi="Century Gothic" w:cs="Garamond"/>
          <w:b/>
        </w:rPr>
      </w:pPr>
    </w:p>
    <w:p w14:paraId="2A137AC0" w14:textId="77777777" w:rsidR="00E85348" w:rsidRPr="00F12F32" w:rsidRDefault="00E85348"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b/>
        </w:rPr>
      </w:pPr>
    </w:p>
    <w:p w14:paraId="3B0AC929" w14:textId="77777777" w:rsidR="00CB7C86" w:rsidRPr="00F12F32" w:rsidRDefault="00CB7C86"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27D40828" w14:textId="77777777" w:rsidR="000C78B1" w:rsidRPr="00F12F32" w:rsidRDefault="000C78B1" w:rsidP="00F12F32">
      <w:pPr>
        <w:spacing w:line="276" w:lineRule="auto"/>
        <w:jc w:val="both"/>
        <w:rPr>
          <w:rFonts w:ascii="Century Gothic" w:hAnsi="Century Gothic"/>
        </w:rPr>
      </w:pPr>
    </w:p>
    <w:p w14:paraId="0C49AD58" w14:textId="3914BA6D" w:rsidR="00366170" w:rsidRPr="00F12F32" w:rsidRDefault="00366170" w:rsidP="00F12F32">
      <w:pPr>
        <w:pStyle w:val="Normal0"/>
        <w:numPr>
          <w:ilvl w:val="0"/>
          <w:numId w:val="8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r w:rsidRPr="00F12F32">
        <w:rPr>
          <w:rFonts w:ascii="Century Gothic" w:hAnsi="Century Gothic"/>
          <w:b/>
        </w:rPr>
        <w:t>TR</w:t>
      </w:r>
      <w:r w:rsidRPr="00F12F32">
        <w:rPr>
          <w:rFonts w:ascii="Century Gothic" w:eastAsia="Helvetica" w:hAnsi="Century Gothic" w:cs="Helvetica"/>
          <w:b/>
        </w:rPr>
        <w:t>ÁMITE DE LA INICIATIVA</w:t>
      </w:r>
    </w:p>
    <w:p w14:paraId="018BAF09" w14:textId="77777777" w:rsidR="005D4CEB" w:rsidRPr="00F12F32" w:rsidRDefault="005D4CEB"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66C6AA3C" w14:textId="2672A58A" w:rsidR="001263EB" w:rsidRPr="00F12F32" w:rsidRDefault="00E61AAD"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r w:rsidRPr="00F12F32">
        <w:rPr>
          <w:rFonts w:ascii="Century Gothic" w:hAnsi="Century Gothic"/>
        </w:rPr>
        <w:t xml:space="preserve">El presente proyecto de ley estatutaria fue radicado el </w:t>
      </w:r>
      <w:r w:rsidR="00E85348" w:rsidRPr="00F12F32">
        <w:rPr>
          <w:rFonts w:ascii="Century Gothic" w:hAnsi="Century Gothic"/>
        </w:rPr>
        <w:t xml:space="preserve">27 de julio </w:t>
      </w:r>
      <w:r w:rsidR="007A4103" w:rsidRPr="00F12F32">
        <w:rPr>
          <w:rFonts w:ascii="Century Gothic" w:hAnsi="Century Gothic"/>
        </w:rPr>
        <w:t xml:space="preserve">del cursante </w:t>
      </w:r>
      <w:r w:rsidR="00E85348" w:rsidRPr="00F12F32">
        <w:rPr>
          <w:rFonts w:ascii="Century Gothic" w:hAnsi="Century Gothic"/>
        </w:rPr>
        <w:t>por los S</w:t>
      </w:r>
      <w:r w:rsidR="001263EB" w:rsidRPr="00F12F32">
        <w:rPr>
          <w:rFonts w:ascii="Century Gothic" w:hAnsi="Century Gothic"/>
        </w:rPr>
        <w:t>enadores Ang</w:t>
      </w:r>
      <w:r w:rsidR="001263EB" w:rsidRPr="00F12F32">
        <w:rPr>
          <w:rFonts w:ascii="Century Gothic" w:eastAsia="Helvetica" w:hAnsi="Century Gothic" w:cs="Helvetica"/>
        </w:rPr>
        <w:t>élica Lozano Correa, Rodrigo Lara, Roosevelt Rodríguez</w:t>
      </w:r>
      <w:r w:rsidR="00E85348" w:rsidRPr="00F12F32">
        <w:rPr>
          <w:rFonts w:ascii="Century Gothic" w:eastAsia="Helvetica" w:hAnsi="Century Gothic" w:cs="Helvetica"/>
        </w:rPr>
        <w:t>, Luis Fernando Velasco, y los R</w:t>
      </w:r>
      <w:r w:rsidR="001263EB" w:rsidRPr="00F12F32">
        <w:rPr>
          <w:rFonts w:ascii="Century Gothic" w:eastAsia="Helvetica" w:hAnsi="Century Gothic" w:cs="Helvetica"/>
        </w:rPr>
        <w:t xml:space="preserve">epresentantes </w:t>
      </w:r>
      <w:r w:rsidR="00E85348" w:rsidRPr="00F12F32">
        <w:rPr>
          <w:rFonts w:ascii="Century Gothic" w:eastAsia="Helvetica" w:hAnsi="Century Gothic" w:cs="Helvetica"/>
        </w:rPr>
        <w:t xml:space="preserve">a la Cámara </w:t>
      </w:r>
      <w:r w:rsidR="001263EB" w:rsidRPr="00F12F32">
        <w:rPr>
          <w:rFonts w:ascii="Century Gothic" w:eastAsia="Helvetica" w:hAnsi="Century Gothic" w:cs="Helvetica"/>
        </w:rPr>
        <w:t>José Daniel López, Adriana Magali Matiz, Carlos Adolfo Ardila, Julio Cesar Triana, Ángela María Robledo, Jorge Alberto Gómez, Juan Carlos Lozada, Alfre</w:t>
      </w:r>
      <w:r w:rsidR="00544E6E" w:rsidRPr="00F12F32">
        <w:rPr>
          <w:rFonts w:ascii="Century Gothic" w:eastAsia="Helvetica" w:hAnsi="Century Gothic" w:cs="Helvetica"/>
        </w:rPr>
        <w:t>do Rafael Deluque y</w:t>
      </w:r>
      <w:r w:rsidR="00E85348" w:rsidRPr="00F12F32">
        <w:rPr>
          <w:rFonts w:ascii="Century Gothic" w:eastAsia="Helvetica" w:hAnsi="Century Gothic" w:cs="Helvetica"/>
        </w:rPr>
        <w:t xml:space="preserve"> Juanita Goebertus Estrada.</w:t>
      </w:r>
    </w:p>
    <w:p w14:paraId="6E7DA1F4" w14:textId="77777777" w:rsidR="001263EB" w:rsidRPr="00F12F32" w:rsidRDefault="001263EB"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p>
    <w:p w14:paraId="64BAF0FE" w14:textId="55787EB2" w:rsidR="001263EB" w:rsidRPr="00F12F32" w:rsidRDefault="001263EB"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r w:rsidRPr="00F12F32">
        <w:rPr>
          <w:rFonts w:ascii="Century Gothic" w:eastAsia="Helvetica" w:hAnsi="Century Gothic" w:cs="Helvetica"/>
        </w:rPr>
        <w:t>Por disposició</w:t>
      </w:r>
      <w:r w:rsidR="00642474" w:rsidRPr="00F12F32">
        <w:rPr>
          <w:rFonts w:ascii="Century Gothic" w:eastAsia="Helvetica" w:hAnsi="Century Gothic" w:cs="Helvetica"/>
        </w:rPr>
        <w:t xml:space="preserve">n de la Mesa Directiva, </w:t>
      </w:r>
      <w:r w:rsidR="00544E6E" w:rsidRPr="00F12F32">
        <w:rPr>
          <w:rFonts w:ascii="Century Gothic" w:eastAsia="Helvetica" w:hAnsi="Century Gothic" w:cs="Helvetica"/>
        </w:rPr>
        <w:t>la Representante a la Cámara Juanita Goebertus Estrada fue</w:t>
      </w:r>
      <w:r w:rsidR="00642474" w:rsidRPr="00F12F32">
        <w:rPr>
          <w:rFonts w:ascii="Century Gothic" w:eastAsia="Helvetica" w:hAnsi="Century Gothic" w:cs="Helvetica"/>
        </w:rPr>
        <w:t xml:space="preserve"> designada </w:t>
      </w:r>
      <w:r w:rsidR="006865EF" w:rsidRPr="00F12F32">
        <w:rPr>
          <w:rFonts w:ascii="Century Gothic" w:eastAsia="Helvetica" w:hAnsi="Century Gothic" w:cs="Helvetica"/>
        </w:rPr>
        <w:t xml:space="preserve">para primer debate como </w:t>
      </w:r>
      <w:r w:rsidR="00642474" w:rsidRPr="00F12F32">
        <w:rPr>
          <w:rFonts w:ascii="Century Gothic" w:eastAsia="Helvetica" w:hAnsi="Century Gothic" w:cs="Helvetica"/>
        </w:rPr>
        <w:t xml:space="preserve">ponente única de la presente iniciativa el pasado 25 de agosto de 2021. </w:t>
      </w:r>
    </w:p>
    <w:p w14:paraId="0B1A7DD0" w14:textId="77777777" w:rsidR="00544E6E" w:rsidRPr="00F12F32" w:rsidRDefault="00544E6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p>
    <w:p w14:paraId="691999ED" w14:textId="77777777" w:rsidR="00D81420" w:rsidRPr="00F12F32" w:rsidRDefault="00544E6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r w:rsidRPr="00F12F32">
        <w:rPr>
          <w:rFonts w:ascii="Century Gothic" w:eastAsia="Helvetica" w:hAnsi="Century Gothic" w:cs="Helvetica"/>
        </w:rPr>
        <w:t xml:space="preserve">El proyecto tuvo discusión en la Comisión Primera el 21 de septiembre de 2021, aprobándose varios de sus artículos. La Mesa Directiva de la Comisión designó subcomisión para el estudio de proposiciones, compuesta por los Representantes Juanita Goebertus, Adriana Magali Matiz, Cesar Augusto Lorduy, Gabriel Jaime Vallejo y Jorge Enrique Burgos. </w:t>
      </w:r>
    </w:p>
    <w:p w14:paraId="40223EDF" w14:textId="77777777" w:rsidR="00D81420" w:rsidRPr="00F12F32" w:rsidRDefault="00D81420"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p>
    <w:p w14:paraId="646FACA9" w14:textId="16331110" w:rsidR="00544E6E" w:rsidRPr="00F12F32" w:rsidRDefault="00544E6E"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r w:rsidRPr="00F12F32">
        <w:rPr>
          <w:rFonts w:ascii="Century Gothic" w:eastAsia="Helvetica" w:hAnsi="Century Gothic" w:cs="Helvetica"/>
        </w:rPr>
        <w:t>El proyecto fue aprobado por la Comisión Primera de la Cámara e</w:t>
      </w:r>
      <w:r w:rsidR="00D81420" w:rsidRPr="00F12F32">
        <w:rPr>
          <w:rFonts w:ascii="Century Gothic" w:eastAsia="Helvetica" w:hAnsi="Century Gothic" w:cs="Helvetica"/>
        </w:rPr>
        <w:t>l pasado 12 de octubre de 2021, y por medio de oficio ese mismo día, se notificó a los representantes Juanita Goebertus, Adriana Magali Matiz, Cesar Augusto Lorduy, Gabriel Jaime Vallejo y Juan Carlos Lozada como ponentes para segundo debate.</w:t>
      </w:r>
    </w:p>
    <w:p w14:paraId="0AA149E2" w14:textId="77777777" w:rsidR="006865EF" w:rsidRPr="00F12F32" w:rsidRDefault="006865EF"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p>
    <w:p w14:paraId="628E87D0" w14:textId="7D7783EA" w:rsidR="006865EF" w:rsidRPr="00F12F32" w:rsidRDefault="006865EF"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r w:rsidRPr="00F12F32">
        <w:rPr>
          <w:rFonts w:ascii="Century Gothic" w:eastAsia="Helvetica" w:hAnsi="Century Gothic" w:cs="Helvetica"/>
        </w:rPr>
        <w:t xml:space="preserve">El día 03 de noviembre de los corrientes el Ministerio de Hacienda y Crédito Público radicó ante la Comisión Primera de Cámara un concepto negativo al presente proyecto, cuyos contenido se referirá adelante. </w:t>
      </w:r>
    </w:p>
    <w:p w14:paraId="1B8F4674" w14:textId="77777777" w:rsidR="006865EF" w:rsidRPr="00F12F32" w:rsidRDefault="006865EF"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p>
    <w:p w14:paraId="689C270F" w14:textId="47B8E753" w:rsidR="006865EF" w:rsidRPr="00F12F32" w:rsidRDefault="006865EF"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r w:rsidRPr="00F12F32">
        <w:rPr>
          <w:rFonts w:ascii="Century Gothic" w:eastAsia="Helvetica" w:hAnsi="Century Gothic" w:cs="Helvetica"/>
        </w:rPr>
        <w:t xml:space="preserve">El pasado 04 de noviembre los Honorables Representantes Juanita María Goebertus Estrada, Adriana Magali Matiz Vargas y Cesar Augusto Lorduy Maldonado radicaron ponencia positiva para segundo debate. </w:t>
      </w:r>
    </w:p>
    <w:p w14:paraId="72BC3B14" w14:textId="77777777" w:rsidR="00642474" w:rsidRPr="00F12F32" w:rsidRDefault="00642474"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rPr>
      </w:pPr>
    </w:p>
    <w:p w14:paraId="40D865E4" w14:textId="42DAD15F" w:rsidR="00B04545" w:rsidRPr="00F12F32" w:rsidRDefault="00366170" w:rsidP="00F12F32">
      <w:pPr>
        <w:pStyle w:val="Normal0"/>
        <w:numPr>
          <w:ilvl w:val="0"/>
          <w:numId w:val="84"/>
        </w:numPr>
        <w:pBdr>
          <w:top w:val="nil"/>
          <w:left w:val="nil"/>
          <w:bottom w:val="nil"/>
          <w:right w:val="nil"/>
          <w:between w:val="nil"/>
        </w:pBdr>
        <w:tabs>
          <w:tab w:val="left" w:pos="708"/>
          <w:tab w:val="left" w:pos="1416"/>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r w:rsidRPr="00F12F32">
        <w:rPr>
          <w:rFonts w:ascii="Century Gothic" w:hAnsi="Century Gothic"/>
          <w:b/>
        </w:rPr>
        <w:lastRenderedPageBreak/>
        <w:t>JUSTIFICACI</w:t>
      </w:r>
      <w:r w:rsidRPr="00F12F32">
        <w:rPr>
          <w:rFonts w:ascii="Century Gothic" w:eastAsia="Helvetica" w:hAnsi="Century Gothic" w:cs="Helvetica"/>
          <w:b/>
        </w:rPr>
        <w:t>ÓN Y CONTENIDO DEL PROYECTO</w:t>
      </w:r>
    </w:p>
    <w:p w14:paraId="48C9B105" w14:textId="77777777" w:rsidR="00B04545" w:rsidRPr="00F12F32" w:rsidRDefault="00B04545" w:rsidP="00F12F32">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rPr>
      </w:pPr>
    </w:p>
    <w:p w14:paraId="1556FF21" w14:textId="3E248B97" w:rsidR="00642474" w:rsidRPr="00F12F32" w:rsidRDefault="00211F0D" w:rsidP="00F12F32">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i/>
        </w:rPr>
      </w:pPr>
      <w:r w:rsidRPr="00F12F32">
        <w:rPr>
          <w:rFonts w:ascii="Century Gothic" w:hAnsi="Century Gothic"/>
        </w:rPr>
        <w:t>De acuerdo con la exposición de motivos del proyecto en cuestión</w:t>
      </w:r>
      <w:r w:rsidR="00A300E3" w:rsidRPr="00F12F32">
        <w:rPr>
          <w:rFonts w:ascii="Century Gothic" w:hAnsi="Century Gothic"/>
        </w:rPr>
        <w:t xml:space="preserve"> y de la ponencia positiva</w:t>
      </w:r>
      <w:r w:rsidRPr="00F12F32">
        <w:rPr>
          <w:rFonts w:ascii="Century Gothic" w:hAnsi="Century Gothic"/>
        </w:rPr>
        <w:t xml:space="preserve">, esta iniciativa </w:t>
      </w:r>
      <w:r w:rsidR="00642474" w:rsidRPr="00F12F32">
        <w:rPr>
          <w:rFonts w:ascii="Century Gothic" w:hAnsi="Century Gothic"/>
        </w:rPr>
        <w:t xml:space="preserve">busca </w:t>
      </w:r>
      <w:r w:rsidR="00A300E3" w:rsidRPr="00F12F32">
        <w:rPr>
          <w:rFonts w:ascii="Century Gothic" w:hAnsi="Century Gothic"/>
        </w:rPr>
        <w:t xml:space="preserve">principalmente </w:t>
      </w:r>
      <w:r w:rsidR="00642474" w:rsidRPr="00F12F32">
        <w:rPr>
          <w:rFonts w:ascii="Century Gothic" w:hAnsi="Century Gothic"/>
          <w:i/>
        </w:rPr>
        <w:t>adecuar y articular la estructura de la Administraci</w:t>
      </w:r>
      <w:r w:rsidR="00642474" w:rsidRPr="00F12F32">
        <w:rPr>
          <w:rFonts w:ascii="Century Gothic" w:eastAsia="Helvetica" w:hAnsi="Century Gothic" w:cs="Helvetica"/>
          <w:i/>
        </w:rPr>
        <w:t xml:space="preserve">ón </w:t>
      </w:r>
      <w:r w:rsidR="00642474" w:rsidRPr="00F12F32">
        <w:rPr>
          <w:rFonts w:ascii="Century Gothic" w:hAnsi="Century Gothic"/>
          <w:i/>
        </w:rPr>
        <w:t>de Justicia y su organizaci</w:t>
      </w:r>
      <w:r w:rsidR="00642474" w:rsidRPr="00F12F32">
        <w:rPr>
          <w:rFonts w:ascii="Century Gothic" w:eastAsia="Helvetica" w:hAnsi="Century Gothic" w:cs="Helvetica"/>
          <w:i/>
        </w:rPr>
        <w:t>ón institucional y procedimental, para implementar la especialidad agraria y rural en las jurisdicciones ordinaria y de lo contencioso administrativo en Colombia. En términos generales, por esta vía se pretende: (i) hacer efectiv</w:t>
      </w:r>
      <w:r w:rsidR="00642474" w:rsidRPr="00F12F32">
        <w:rPr>
          <w:rFonts w:ascii="Century Gothic" w:hAnsi="Century Gothic"/>
          <w:i/>
        </w:rPr>
        <w:t>a la cl</w:t>
      </w:r>
      <w:r w:rsidR="00642474" w:rsidRPr="00F12F32">
        <w:rPr>
          <w:rFonts w:ascii="Century Gothic" w:eastAsia="Helvetica" w:hAnsi="Century Gothic" w:cs="Helvetica"/>
          <w:i/>
        </w:rPr>
        <w:t>áusula constitucional de Estado Social de Derecho, desde la perspectiva del ordenamiento y acceso progresivo a la propiedad de la tierra en Colombia; (ii) la protección a los trabajadores agrarios (CP., arts. 1, 64, 65 y 66); (iii) cumplir con lo di</w:t>
      </w:r>
      <w:r w:rsidR="00642474" w:rsidRPr="00F12F32">
        <w:rPr>
          <w:rFonts w:ascii="Century Gothic" w:hAnsi="Century Gothic"/>
          <w:i/>
        </w:rPr>
        <w:t>spuesto en el Acto Legislativo 02 de 2017; y finalmente, (iv) integrar dicho esquema en la ley estatutaria de administraci</w:t>
      </w:r>
      <w:r w:rsidR="00642474" w:rsidRPr="00F12F32">
        <w:rPr>
          <w:rFonts w:ascii="Century Gothic" w:eastAsia="Helvetica" w:hAnsi="Century Gothic" w:cs="Helvetica"/>
          <w:i/>
        </w:rPr>
        <w:t>ón de justicia.</w:t>
      </w:r>
    </w:p>
    <w:p w14:paraId="45864983" w14:textId="77777777" w:rsidR="00642474" w:rsidRPr="00F12F32" w:rsidRDefault="00642474" w:rsidP="00F12F32">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i/>
        </w:rPr>
      </w:pPr>
    </w:p>
    <w:p w14:paraId="7A6CBDB3" w14:textId="62A5ED12" w:rsidR="00B04545" w:rsidRPr="00F12F32" w:rsidRDefault="00A300E3" w:rsidP="00F12F32">
      <w:pPr>
        <w:spacing w:line="276" w:lineRule="auto"/>
        <w:jc w:val="both"/>
        <w:rPr>
          <w:rFonts w:ascii="Century Gothic" w:hAnsi="Century Gothic"/>
        </w:rPr>
      </w:pPr>
      <w:r w:rsidRPr="00F12F32">
        <w:rPr>
          <w:rFonts w:ascii="Century Gothic" w:hAnsi="Century Gothic"/>
        </w:rPr>
        <w:t>Asimismo, en la exposición de motivos</w:t>
      </w:r>
      <w:r w:rsidR="00B04545" w:rsidRPr="00F12F32">
        <w:rPr>
          <w:rFonts w:ascii="Century Gothic" w:hAnsi="Century Gothic"/>
        </w:rPr>
        <w:t xml:space="preserve"> </w:t>
      </w:r>
      <w:r w:rsidRPr="00F12F32">
        <w:rPr>
          <w:rFonts w:ascii="Century Gothic" w:hAnsi="Century Gothic"/>
        </w:rPr>
        <w:t xml:space="preserve">se argumenta que, </w:t>
      </w:r>
      <w:r w:rsidR="00B04545" w:rsidRPr="00F12F32">
        <w:rPr>
          <w:rFonts w:ascii="Century Gothic" w:hAnsi="Century Gothic"/>
        </w:rPr>
        <w:t>respecto al acceso al sistema judicial, la tasa nacional es de once jueces por cada cien mil habitantes, mientras que en los municipios PDET (Programas de Desarrollo con Enfoque Territorial), es de seis</w:t>
      </w:r>
      <w:r w:rsidR="00B04545" w:rsidRPr="00F12F32">
        <w:rPr>
          <w:rStyle w:val="Refdenotaalpie"/>
          <w:rFonts w:ascii="Century Gothic" w:hAnsi="Century Gothic"/>
        </w:rPr>
        <w:footnoteReference w:id="1"/>
      </w:r>
      <w:r w:rsidR="00B04545" w:rsidRPr="00F12F32">
        <w:rPr>
          <w:rFonts w:ascii="Century Gothic" w:hAnsi="Century Gothic"/>
        </w:rPr>
        <w:t>. As</w:t>
      </w:r>
      <w:r w:rsidR="00B04545" w:rsidRPr="00F12F32">
        <w:rPr>
          <w:rFonts w:ascii="Century Gothic" w:eastAsia="Helvetica" w:hAnsi="Century Gothic" w:cs="Helvetica"/>
        </w:rPr>
        <w:t>í</w:t>
      </w:r>
      <w:r w:rsidR="00B04545" w:rsidRPr="00F12F32">
        <w:rPr>
          <w:rFonts w:ascii="Century Gothic" w:hAnsi="Century Gothic"/>
        </w:rPr>
        <w:t xml:space="preserve">, por ejemplo, </w:t>
      </w:r>
      <w:r w:rsidRPr="00F12F32">
        <w:rPr>
          <w:rFonts w:ascii="Century Gothic" w:hAnsi="Century Gothic"/>
        </w:rPr>
        <w:t xml:space="preserve">sostienen los autores, </w:t>
      </w:r>
      <w:r w:rsidR="00B04545" w:rsidRPr="00F12F32">
        <w:rPr>
          <w:rFonts w:ascii="Century Gothic" w:hAnsi="Century Gothic"/>
        </w:rPr>
        <w:t>el 95,8% de los municipios PDET no cuentan con jueces itinerantes del circuito especializados en tierras; el 81,2% de ellos no cuenta con centros de conciliaci</w:t>
      </w:r>
      <w:r w:rsidR="00B04545" w:rsidRPr="00F12F32">
        <w:rPr>
          <w:rFonts w:ascii="Century Gothic" w:eastAsia="Helvetica" w:hAnsi="Century Gothic" w:cs="Helvetica"/>
        </w:rPr>
        <w:t>ó</w:t>
      </w:r>
      <w:r w:rsidR="00B04545" w:rsidRPr="00F12F32">
        <w:rPr>
          <w:rFonts w:ascii="Century Gothic" w:hAnsi="Century Gothic"/>
        </w:rPr>
        <w:t>n</w:t>
      </w:r>
      <w:r w:rsidR="00B04545" w:rsidRPr="00F12F32">
        <w:rPr>
          <w:rStyle w:val="Refdenotaalpie"/>
          <w:rFonts w:ascii="Century Gothic" w:hAnsi="Century Gothic"/>
        </w:rPr>
        <w:footnoteReference w:id="2"/>
      </w:r>
      <w:r w:rsidR="00B04545" w:rsidRPr="00F12F32">
        <w:rPr>
          <w:rFonts w:ascii="Century Gothic" w:hAnsi="Century Gothic"/>
        </w:rPr>
        <w:t>, y el 72,4% no cuenta con Casas de Justicia o Centros de Convivencia Ciudadana</w:t>
      </w:r>
      <w:r w:rsidR="00B04545" w:rsidRPr="00F12F32">
        <w:rPr>
          <w:rFonts w:ascii="Century Gothic" w:hAnsi="Century Gothic"/>
          <w:vertAlign w:val="superscript"/>
        </w:rPr>
        <w:footnoteReference w:id="3"/>
      </w:r>
      <w:r w:rsidR="00B04545" w:rsidRPr="00F12F32">
        <w:rPr>
          <w:rFonts w:ascii="Century Gothic" w:hAnsi="Century Gothic"/>
        </w:rPr>
        <w:t>.</w:t>
      </w:r>
    </w:p>
    <w:p w14:paraId="253BB72F" w14:textId="77777777" w:rsidR="00E61C26" w:rsidRPr="00F12F32" w:rsidRDefault="00E61C26" w:rsidP="00F12F32">
      <w:pPr>
        <w:spacing w:line="276" w:lineRule="auto"/>
        <w:jc w:val="both"/>
        <w:rPr>
          <w:rFonts w:ascii="Century Gothic" w:hAnsi="Century Gothic"/>
        </w:rPr>
      </w:pPr>
    </w:p>
    <w:p w14:paraId="240EB7BC" w14:textId="0A91D4D2" w:rsidR="00E85348" w:rsidRPr="00F12F32" w:rsidRDefault="00A300E3" w:rsidP="00F12F32">
      <w:pPr>
        <w:spacing w:line="276" w:lineRule="auto"/>
        <w:jc w:val="both"/>
        <w:rPr>
          <w:rFonts w:ascii="Century Gothic" w:hAnsi="Century Gothic"/>
        </w:rPr>
      </w:pPr>
      <w:r w:rsidRPr="00F12F32">
        <w:rPr>
          <w:rFonts w:ascii="Century Gothic" w:hAnsi="Century Gothic"/>
        </w:rPr>
        <w:t>Igualmente, se ha expuesto</w:t>
      </w:r>
      <w:r w:rsidR="00E61C26" w:rsidRPr="00F12F32">
        <w:rPr>
          <w:rFonts w:ascii="Century Gothic" w:hAnsi="Century Gothic"/>
        </w:rPr>
        <w:t xml:space="preserve"> que los conflictos sobre la tierra son tres veces m</w:t>
      </w:r>
      <w:r w:rsidR="00E61C26" w:rsidRPr="00F12F32">
        <w:rPr>
          <w:rFonts w:ascii="Century Gothic" w:eastAsia="Helvetica" w:hAnsi="Century Gothic" w:cs="Helvetica"/>
        </w:rPr>
        <w:t>ayores en las zo</w:t>
      </w:r>
      <w:r w:rsidR="00E85348" w:rsidRPr="00F12F32">
        <w:rPr>
          <w:rFonts w:ascii="Century Gothic" w:eastAsia="Helvetica" w:hAnsi="Century Gothic" w:cs="Helvetica"/>
        </w:rPr>
        <w:t>nas rurales que en las zonas ur</w:t>
      </w:r>
      <w:r w:rsidR="00E61C26" w:rsidRPr="00F12F32">
        <w:rPr>
          <w:rFonts w:ascii="Century Gothic" w:eastAsia="Helvetica" w:hAnsi="Century Gothic" w:cs="Helvetica"/>
        </w:rPr>
        <w:t xml:space="preserve">banas: mientras que a nivel nacional el 0,1% </w:t>
      </w:r>
      <w:r w:rsidR="00E61C26" w:rsidRPr="00F12F32">
        <w:rPr>
          <w:rFonts w:ascii="Century Gothic" w:hAnsi="Century Gothic"/>
        </w:rPr>
        <w:t>de las personas que han experimentado un problema, desacuerdo, conflicto o disputa corresponden a problemas de propiedad, uso y tenencia de la tierra, en los centros poblados y rural disperso esta cifra corresponde a 0,3%</w:t>
      </w:r>
      <w:r w:rsidR="00E61C26" w:rsidRPr="00F12F32">
        <w:rPr>
          <w:rFonts w:ascii="Century Gothic" w:hAnsi="Century Gothic"/>
          <w:vertAlign w:val="superscript"/>
        </w:rPr>
        <w:footnoteReference w:id="4"/>
      </w:r>
      <w:r w:rsidR="00E61C26" w:rsidRPr="00F12F32">
        <w:rPr>
          <w:rFonts w:ascii="Century Gothic" w:hAnsi="Century Gothic"/>
        </w:rPr>
        <w:t xml:space="preserve">. </w:t>
      </w:r>
    </w:p>
    <w:p w14:paraId="42AEAE1B" w14:textId="77777777" w:rsidR="00E85348" w:rsidRPr="00F12F32" w:rsidRDefault="00E85348" w:rsidP="00F12F32">
      <w:pPr>
        <w:spacing w:line="276" w:lineRule="auto"/>
        <w:jc w:val="both"/>
        <w:rPr>
          <w:rFonts w:ascii="Century Gothic" w:hAnsi="Century Gothic"/>
        </w:rPr>
      </w:pPr>
    </w:p>
    <w:p w14:paraId="5FDB54F4" w14:textId="77777777" w:rsidR="00E61C26" w:rsidRPr="00F12F32" w:rsidRDefault="00E61C26" w:rsidP="00F12F32">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rPr>
      </w:pPr>
    </w:p>
    <w:p w14:paraId="5502299D" w14:textId="57244EB9" w:rsidR="00642474" w:rsidRPr="00F12F32" w:rsidRDefault="00A300E3" w:rsidP="00F12F32">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rPr>
      </w:pPr>
      <w:r w:rsidRPr="00F12F32">
        <w:rPr>
          <w:rFonts w:ascii="Century Gothic" w:hAnsi="Century Gothic"/>
        </w:rPr>
        <w:t>Por lo anterior, y c</w:t>
      </w:r>
      <w:r w:rsidR="00642474" w:rsidRPr="00F12F32">
        <w:rPr>
          <w:rFonts w:ascii="Century Gothic" w:hAnsi="Century Gothic"/>
        </w:rPr>
        <w:t xml:space="preserve">on el fin de </w:t>
      </w:r>
      <w:r w:rsidR="00E61C26" w:rsidRPr="00F12F32">
        <w:rPr>
          <w:rFonts w:ascii="Century Gothic" w:hAnsi="Century Gothic"/>
        </w:rPr>
        <w:t>superar el escenario de carencia de v</w:t>
      </w:r>
      <w:r w:rsidR="00E61C26" w:rsidRPr="00F12F32">
        <w:rPr>
          <w:rFonts w:ascii="Century Gothic" w:eastAsia="Helvetica" w:hAnsi="Century Gothic" w:cs="Helvetica"/>
        </w:rPr>
        <w:t>í</w:t>
      </w:r>
      <w:r w:rsidR="00E61C26" w:rsidRPr="00F12F32">
        <w:rPr>
          <w:rFonts w:ascii="Century Gothic" w:hAnsi="Century Gothic"/>
        </w:rPr>
        <w:t>as institucionales y el va</w:t>
      </w:r>
      <w:r w:rsidR="00E61C26" w:rsidRPr="00F12F32">
        <w:rPr>
          <w:rFonts w:ascii="Century Gothic" w:eastAsia="Helvetica" w:hAnsi="Century Gothic" w:cs="Helvetica"/>
        </w:rPr>
        <w:t xml:space="preserve">cío en la provisión de servicios judiciales, </w:t>
      </w:r>
      <w:r w:rsidRPr="00F12F32">
        <w:rPr>
          <w:rFonts w:ascii="Century Gothic" w:eastAsia="Helvetica" w:hAnsi="Century Gothic" w:cs="Helvetica"/>
        </w:rPr>
        <w:t xml:space="preserve">nace </w:t>
      </w:r>
      <w:r w:rsidR="00642474" w:rsidRPr="00F12F32">
        <w:rPr>
          <w:rFonts w:ascii="Century Gothic" w:eastAsia="Helvetica" w:hAnsi="Century Gothic" w:cs="Helvetica"/>
        </w:rPr>
        <w:t xml:space="preserve">el </w:t>
      </w:r>
      <w:r w:rsidR="00E85348" w:rsidRPr="00F12F32">
        <w:rPr>
          <w:rFonts w:ascii="Century Gothic" w:eastAsia="Helvetica" w:hAnsi="Century Gothic" w:cs="Helvetica"/>
        </w:rPr>
        <w:t xml:space="preserve">presente </w:t>
      </w:r>
      <w:r w:rsidR="00642474" w:rsidRPr="00F12F32">
        <w:rPr>
          <w:rFonts w:ascii="Century Gothic" w:eastAsia="Helvetica" w:hAnsi="Century Gothic" w:cs="Helvetica"/>
        </w:rPr>
        <w:t>proyecto de ley</w:t>
      </w:r>
      <w:r w:rsidR="00E85348" w:rsidRPr="00F12F32">
        <w:rPr>
          <w:rFonts w:ascii="Century Gothic" w:eastAsia="Helvetica" w:hAnsi="Century Gothic" w:cs="Helvetica"/>
        </w:rPr>
        <w:t xml:space="preserve"> estatutaria</w:t>
      </w:r>
      <w:r w:rsidR="00642474" w:rsidRPr="00F12F32">
        <w:rPr>
          <w:rFonts w:ascii="Century Gothic" w:eastAsia="Helvetica" w:hAnsi="Century Gothic" w:cs="Helvetica"/>
        </w:rPr>
        <w:t xml:space="preserve"> </w:t>
      </w:r>
      <w:r w:rsidRPr="00F12F32">
        <w:rPr>
          <w:rFonts w:ascii="Century Gothic" w:eastAsia="Helvetica" w:hAnsi="Century Gothic" w:cs="Helvetica"/>
        </w:rPr>
        <w:t xml:space="preserve">que persigue </w:t>
      </w:r>
      <w:r w:rsidR="00642474" w:rsidRPr="00F12F32">
        <w:rPr>
          <w:rFonts w:ascii="Century Gothic" w:eastAsia="Helvetica" w:hAnsi="Century Gothic" w:cs="Helvetica"/>
        </w:rPr>
        <w:t>crea</w:t>
      </w:r>
      <w:r w:rsidRPr="00F12F32">
        <w:rPr>
          <w:rFonts w:ascii="Century Gothic" w:eastAsia="Helvetica" w:hAnsi="Century Gothic" w:cs="Helvetica"/>
        </w:rPr>
        <w:t>r</w:t>
      </w:r>
      <w:r w:rsidR="00642474" w:rsidRPr="00F12F32">
        <w:rPr>
          <w:rFonts w:ascii="Century Gothic" w:eastAsia="Helvetica" w:hAnsi="Century Gothic" w:cs="Helvetica"/>
        </w:rPr>
        <w:t xml:space="preserve"> la especialidad agraria y rural en la jurisdicción ordinaria y en la jurisdicción contencioso administrativa. </w:t>
      </w:r>
    </w:p>
    <w:p w14:paraId="4F03620C" w14:textId="77777777" w:rsidR="00642474" w:rsidRPr="00F12F32" w:rsidRDefault="00642474"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4FD5436B" w14:textId="2C9FAF6F" w:rsidR="00366170" w:rsidRPr="00F12F32" w:rsidRDefault="00A300E3" w:rsidP="00F12F32">
      <w:pPr>
        <w:pStyle w:val="Normal0"/>
        <w:numPr>
          <w:ilvl w:val="0"/>
          <w:numId w:val="84"/>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b/>
        </w:rPr>
      </w:pPr>
      <w:r w:rsidRPr="00F12F32">
        <w:rPr>
          <w:rFonts w:ascii="Century Gothic" w:hAnsi="Century Gothic"/>
          <w:b/>
        </w:rPr>
        <w:t>INCONVENIENCIA DEL PROYECTO DE LEY</w:t>
      </w:r>
    </w:p>
    <w:p w14:paraId="68C6ADC3" w14:textId="77777777" w:rsidR="00A300E3" w:rsidRPr="00F12F32" w:rsidRDefault="00A300E3" w:rsidP="00F12F32">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b/>
        </w:rPr>
      </w:pPr>
    </w:p>
    <w:p w14:paraId="42052801" w14:textId="695906A1" w:rsidR="00A300E3" w:rsidRPr="00F12F32" w:rsidRDefault="00EC406C" w:rsidP="00F12F32">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rPr>
      </w:pPr>
      <w:r w:rsidRPr="00F12F32">
        <w:rPr>
          <w:rFonts w:ascii="Century Gothic" w:hAnsi="Century Gothic"/>
        </w:rPr>
        <w:t>El propósito que subyace</w:t>
      </w:r>
      <w:r w:rsidR="00455DE4" w:rsidRPr="00F12F32">
        <w:rPr>
          <w:rFonts w:ascii="Century Gothic" w:hAnsi="Century Gothic"/>
        </w:rPr>
        <w:t xml:space="preserve"> en esta iniciativa </w:t>
      </w:r>
      <w:r w:rsidRPr="00F12F32">
        <w:rPr>
          <w:rFonts w:ascii="Century Gothic" w:hAnsi="Century Gothic"/>
        </w:rPr>
        <w:t xml:space="preserve">es mayormente </w:t>
      </w:r>
      <w:r w:rsidR="00455DE4" w:rsidRPr="00F12F32">
        <w:rPr>
          <w:rFonts w:ascii="Century Gothic" w:hAnsi="Century Gothic"/>
        </w:rPr>
        <w:t xml:space="preserve">loable pues busca establecer una salida a al problema estructural de la resolución de conflictos rurales en Colombia que, dicho sea de paso, </w:t>
      </w:r>
      <w:r w:rsidRPr="00F12F32">
        <w:rPr>
          <w:rFonts w:ascii="Century Gothic" w:hAnsi="Century Gothic"/>
        </w:rPr>
        <w:t>sigue</w:t>
      </w:r>
      <w:r w:rsidR="00455DE4" w:rsidRPr="00F12F32">
        <w:rPr>
          <w:rFonts w:ascii="Century Gothic" w:hAnsi="Century Gothic"/>
        </w:rPr>
        <w:t xml:space="preserve"> generando incertidumbre y </w:t>
      </w:r>
      <w:r w:rsidR="002734B4">
        <w:rPr>
          <w:rFonts w:ascii="Century Gothic" w:hAnsi="Century Gothic"/>
        </w:rPr>
        <w:t>suscitando</w:t>
      </w:r>
      <w:r w:rsidR="00455DE4" w:rsidRPr="00F12F32">
        <w:rPr>
          <w:rFonts w:ascii="Century Gothic" w:hAnsi="Century Gothic"/>
        </w:rPr>
        <w:t xml:space="preserve"> odios que no permiten avanzar como país. De ahí entonces que la idea</w:t>
      </w:r>
      <w:r w:rsidRPr="00F12F32">
        <w:rPr>
          <w:rFonts w:ascii="Century Gothic" w:hAnsi="Century Gothic"/>
        </w:rPr>
        <w:t xml:space="preserve"> inicialmente concebida</w:t>
      </w:r>
      <w:r w:rsidR="00455DE4" w:rsidRPr="00F12F32">
        <w:rPr>
          <w:rFonts w:ascii="Century Gothic" w:hAnsi="Century Gothic"/>
        </w:rPr>
        <w:t xml:space="preserve"> haya sido vista con buenos ojos por parte del suscrito</w:t>
      </w:r>
      <w:r w:rsidR="00AF2BA7" w:rsidRPr="00F12F32">
        <w:rPr>
          <w:rFonts w:ascii="Century Gothic" w:hAnsi="Century Gothic"/>
        </w:rPr>
        <w:t xml:space="preserve"> ponente, no obstante las observaciones que en su momento dejé expresadas en el primer</w:t>
      </w:r>
      <w:r w:rsidR="00270571">
        <w:rPr>
          <w:rFonts w:ascii="Century Gothic" w:hAnsi="Century Gothic"/>
        </w:rPr>
        <w:t xml:space="preserve"> debate, como las relacionadas con</w:t>
      </w:r>
      <w:r w:rsidR="00A4745B">
        <w:rPr>
          <w:rFonts w:ascii="Century Gothic" w:hAnsi="Century Gothic"/>
        </w:rPr>
        <w:t xml:space="preserve"> los principios, las zonas focalizadas y e</w:t>
      </w:r>
      <w:r w:rsidR="00AF2BA7" w:rsidRPr="00F12F32">
        <w:rPr>
          <w:rFonts w:ascii="Century Gothic" w:hAnsi="Century Gothic"/>
        </w:rPr>
        <w:t xml:space="preserve">l posible impacto fiscal, lo que </w:t>
      </w:r>
      <w:r w:rsidR="00862838" w:rsidRPr="00F12F32">
        <w:rPr>
          <w:rFonts w:ascii="Century Gothic" w:hAnsi="Century Gothic"/>
        </w:rPr>
        <w:t xml:space="preserve">a su turno </w:t>
      </w:r>
      <w:r w:rsidR="00AF2BA7" w:rsidRPr="00F12F32">
        <w:rPr>
          <w:rFonts w:ascii="Century Gothic" w:hAnsi="Century Gothic"/>
        </w:rPr>
        <w:t xml:space="preserve">me llevó en su momento a radicar un número importante de proposiciones en búsqueda de mejorar el proyecto, y </w:t>
      </w:r>
      <w:r w:rsidR="00862838" w:rsidRPr="00F12F32">
        <w:rPr>
          <w:rFonts w:ascii="Century Gothic" w:hAnsi="Century Gothic"/>
        </w:rPr>
        <w:t>que precisamente condujo a</w:t>
      </w:r>
      <w:r w:rsidR="00AF2BA7" w:rsidRPr="00F12F32">
        <w:rPr>
          <w:rFonts w:ascii="Century Gothic" w:hAnsi="Century Gothic"/>
        </w:rPr>
        <w:t xml:space="preserve"> que me nombraran como uno de los ponentes para segundo debate.</w:t>
      </w:r>
    </w:p>
    <w:p w14:paraId="4C4A5935" w14:textId="77777777" w:rsidR="00AF2BA7" w:rsidRPr="00F12F32" w:rsidRDefault="00AF2BA7" w:rsidP="00F12F32">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rPr>
      </w:pPr>
    </w:p>
    <w:p w14:paraId="37709A6E" w14:textId="22C14293" w:rsidR="00AF2BA7" w:rsidRPr="00F12F32" w:rsidRDefault="00AF2BA7" w:rsidP="00F12F32">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rPr>
      </w:pPr>
      <w:r w:rsidRPr="00F12F32">
        <w:rPr>
          <w:rFonts w:ascii="Century Gothic" w:hAnsi="Century Gothic"/>
        </w:rPr>
        <w:t xml:space="preserve">Con todo, para el estudio y preparación de la ponencia para segundo debate, encontró este servidor que el día 03 de noviembre de los corrientes, el Ministerio de Hacienda y Crédito Público radicó un concepto en donde de manera técnica y aterrizada explica la inoportunidad de este proyecto de ley, lo cual fue olvidado por los ponentes que suscribieron la ponencia positiva. </w:t>
      </w:r>
    </w:p>
    <w:p w14:paraId="50A9F24D" w14:textId="77777777" w:rsidR="00AF2BA7" w:rsidRPr="00F12F32" w:rsidRDefault="00AF2BA7" w:rsidP="00F12F32">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rPr>
      </w:pPr>
    </w:p>
    <w:p w14:paraId="6C84DE2C" w14:textId="49CB5F87" w:rsidR="00AF2BA7" w:rsidRPr="00F12F32" w:rsidRDefault="00AF2BA7" w:rsidP="00F12F32">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rPr>
      </w:pPr>
      <w:r w:rsidRPr="00F12F32">
        <w:rPr>
          <w:rFonts w:ascii="Century Gothic" w:hAnsi="Century Gothic"/>
        </w:rPr>
        <w:t>Así las cosas, es preciso referir los comentarios técnicos expuesto</w:t>
      </w:r>
      <w:r w:rsidR="00270571">
        <w:rPr>
          <w:rFonts w:ascii="Century Gothic" w:hAnsi="Century Gothic"/>
        </w:rPr>
        <w:t>s</w:t>
      </w:r>
      <w:r w:rsidRPr="00F12F32">
        <w:rPr>
          <w:rFonts w:ascii="Century Gothic" w:hAnsi="Century Gothic"/>
        </w:rPr>
        <w:t xml:space="preserve"> por la citada cartera ministerial, cuyos razonamientos me </w:t>
      </w:r>
      <w:r w:rsidR="00862838" w:rsidRPr="00F12F32">
        <w:rPr>
          <w:rFonts w:ascii="Century Gothic" w:hAnsi="Century Gothic"/>
        </w:rPr>
        <w:t>han llevado</w:t>
      </w:r>
      <w:r w:rsidRPr="00F12F32">
        <w:rPr>
          <w:rFonts w:ascii="Century Gothic" w:hAnsi="Century Gothic"/>
        </w:rPr>
        <w:t xml:space="preserve"> a presentar esta ponencia de archivo:</w:t>
      </w:r>
    </w:p>
    <w:p w14:paraId="487063CF" w14:textId="77777777" w:rsidR="00AF2BA7" w:rsidRPr="00F12F32" w:rsidRDefault="00AF2BA7" w:rsidP="00F12F32">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b/>
        </w:rPr>
      </w:pPr>
    </w:p>
    <w:p w14:paraId="4F5E512A" w14:textId="65FFE4E8" w:rsidR="008E2CE0" w:rsidRPr="00F12F32" w:rsidRDefault="008E2CE0" w:rsidP="00F12F32">
      <w:pPr>
        <w:widowControl w:val="0"/>
        <w:autoSpaceDE w:val="0"/>
        <w:autoSpaceDN w:val="0"/>
        <w:adjustRightInd w:val="0"/>
        <w:spacing w:after="240" w:line="276" w:lineRule="auto"/>
        <w:jc w:val="both"/>
        <w:rPr>
          <w:rFonts w:ascii="Century Gothic" w:eastAsiaTheme="minorHAnsi" w:hAnsi="Century Gothic" w:cs="Arial Narrow"/>
          <w:lang w:val="es-ES" w:eastAsia="en-US"/>
        </w:rPr>
      </w:pPr>
      <w:r w:rsidRPr="00F12F32">
        <w:rPr>
          <w:rFonts w:ascii="Century Gothic" w:eastAsiaTheme="minorHAnsi" w:hAnsi="Century Gothic" w:cs="Arial Narrow"/>
          <w:lang w:val="es-ES" w:eastAsia="en-US"/>
        </w:rPr>
        <w:t>El artículo 19</w:t>
      </w:r>
      <w:r w:rsidRPr="00F12F32">
        <w:rPr>
          <w:rStyle w:val="Refdenotaalpie"/>
          <w:rFonts w:ascii="Century Gothic" w:eastAsiaTheme="minorHAnsi" w:hAnsi="Century Gothic" w:cs="Arial Narrow"/>
          <w:lang w:val="es-ES" w:eastAsia="en-US"/>
        </w:rPr>
        <w:footnoteReference w:id="5"/>
      </w:r>
      <w:r w:rsidRPr="00F12F32">
        <w:rPr>
          <w:rFonts w:ascii="Century Gothic" w:eastAsiaTheme="minorHAnsi" w:hAnsi="Century Gothic" w:cs="Arial Narrow"/>
          <w:lang w:val="es-ES" w:eastAsia="en-US"/>
        </w:rPr>
        <w:t xml:space="preserve"> de la iniciativa establece la creación de dos (2) plazas de </w:t>
      </w:r>
      <w:r w:rsidRPr="00F12F32">
        <w:rPr>
          <w:rFonts w:ascii="Century Gothic" w:eastAsiaTheme="minorHAnsi" w:hAnsi="Century Gothic" w:cs="Arial Narrow"/>
          <w:lang w:val="es-ES" w:eastAsia="en-US"/>
        </w:rPr>
        <w:lastRenderedPageBreak/>
        <w:t>magistrados en el Consejo de Estado y el artículo 21</w:t>
      </w:r>
      <w:r w:rsidRPr="00F12F32">
        <w:rPr>
          <w:rStyle w:val="Refdenotaalpie"/>
          <w:rFonts w:ascii="Century Gothic" w:eastAsiaTheme="minorHAnsi" w:hAnsi="Century Gothic" w:cs="Arial Narrow"/>
          <w:lang w:val="es-ES" w:eastAsia="en-US"/>
        </w:rPr>
        <w:footnoteReference w:id="6"/>
      </w:r>
      <w:r w:rsidRPr="00F12F32">
        <w:rPr>
          <w:rFonts w:ascii="Century Gothic" w:eastAsiaTheme="minorHAnsi" w:hAnsi="Century Gothic" w:cs="Arial Narrow"/>
          <w:lang w:val="es-ES" w:eastAsia="en-US"/>
        </w:rPr>
        <w:t xml:space="preserve"> refiere que el Consejo Superior de la Judicatura creará los despachos judiciales que sean requeridos para el cumplimiento de la Ley.</w:t>
      </w:r>
    </w:p>
    <w:p w14:paraId="53868B40" w14:textId="77777777" w:rsidR="008E2CE0" w:rsidRPr="00F12F32" w:rsidRDefault="008E2CE0"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Arial Narrow"/>
          <w:lang w:val="es-ES" w:eastAsia="en-US"/>
        </w:rPr>
        <w:t xml:space="preserve">Dicho esto, se advierte que la creación de despachos judiciales por parte del Consejo Superior de la Judicatura no está determinada a un número de despachos, sino que se encuentra supeditada a la necesidad correspondiente para efectos del ejercicio de la justicia agraria ordinaria y administrativa. No obstante, se destaca que la implementación sería priorizada para los territorios focalizados por el Ministerio de Agricultura y Desarrollo Rural. </w:t>
      </w:r>
    </w:p>
    <w:p w14:paraId="6B98EA8B" w14:textId="2A8BE433" w:rsidR="008E2CE0" w:rsidRPr="00F12F32" w:rsidRDefault="008E2CE0"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Arial Narrow"/>
          <w:lang w:val="es-ES" w:eastAsia="en-US"/>
        </w:rPr>
        <w:t xml:space="preserve">Ahora bien, el 10 de marzo de 2020, el Ministerio de Justicia y del Derecho remitió a al Ministerio de Hacienda y Crédito Público el texto de anteproyecto que ahora se encuentra contenido en el Proyecto de Ley del asunto, para el respectivo análisis de impacto fiscal. En dicha comunicación se manifiesta que se crearían cuarenta y cinco (45) Despachos de Magistrados en los Tribunales Superiores, cuarenta y cinco (45) Despachos en los Tribunales Administrativos, ciento cincuenta (150) Despachos de Jueces de Circuito en la Jurisdicción Ordinaria y ochenta (80) Despachos de Jueces de Circuito en la Jurisdicción Administrativa. </w:t>
      </w:r>
    </w:p>
    <w:p w14:paraId="646ABD98" w14:textId="77777777" w:rsidR="008E2CE0" w:rsidRPr="00F12F32" w:rsidRDefault="008E2CE0"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Arial Narrow"/>
          <w:lang w:val="es-ES" w:eastAsia="en-US"/>
        </w:rPr>
        <w:t xml:space="preserve">En ese orden de ideas, se prevé la creación de 322 despachos con las especificaciones detalladas en el Cuadro 1: </w:t>
      </w:r>
    </w:p>
    <w:p w14:paraId="50126742" w14:textId="6C7B404A" w:rsidR="008E2CE0" w:rsidRPr="00F12F32" w:rsidRDefault="008E2CE0"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Arial Narrow"/>
          <w:lang w:val="es-ES" w:eastAsia="en-US"/>
        </w:rPr>
        <w:t xml:space="preserve"> </w:t>
      </w:r>
    </w:p>
    <w:p w14:paraId="05AD6F3C" w14:textId="42B33FC7" w:rsidR="008E2CE0" w:rsidRPr="00F12F32" w:rsidRDefault="008E2CE0" w:rsidP="00F12F32">
      <w:pPr>
        <w:widowControl w:val="0"/>
        <w:autoSpaceDE w:val="0"/>
        <w:autoSpaceDN w:val="0"/>
        <w:adjustRightInd w:val="0"/>
        <w:spacing w:after="240" w:line="276" w:lineRule="auto"/>
        <w:jc w:val="both"/>
        <w:rPr>
          <w:rFonts w:ascii="Century Gothic" w:eastAsiaTheme="minorHAnsi" w:hAnsi="Century Gothic" w:cs="Arial Narrow"/>
          <w:lang w:val="es-ES" w:eastAsia="en-US"/>
        </w:rPr>
      </w:pPr>
      <w:r w:rsidRPr="00F12F32">
        <w:rPr>
          <w:rFonts w:ascii="Century Gothic" w:eastAsiaTheme="minorHAnsi" w:hAnsi="Century Gothic" w:cs="Arial Narrow"/>
          <w:lang w:val="es-ES" w:eastAsia="en-US"/>
        </w:rPr>
        <w:t xml:space="preserve"> </w:t>
      </w:r>
      <w:r w:rsidRPr="00F12F32">
        <w:rPr>
          <w:rFonts w:ascii="Century Gothic" w:eastAsiaTheme="minorHAnsi" w:hAnsi="Century Gothic" w:cs="Arial Narrow"/>
          <w:noProof/>
          <w:lang w:val="es-419" w:eastAsia="es-419"/>
        </w:rPr>
        <w:lastRenderedPageBreak/>
        <w:drawing>
          <wp:inline distT="0" distB="0" distL="0" distR="0" wp14:anchorId="452EAB8E" wp14:editId="57C8856B">
            <wp:extent cx="5600700" cy="1855470"/>
            <wp:effectExtent l="0" t="0" r="12700" b="0"/>
            <wp:docPr id="1" name="Imagen 1" descr="../../../../../Captura%20de%20pantalla%202021-11-09%20a%20las%203.50.20%2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21-11-09%20a%20las%203.50.20%20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855470"/>
                    </a:xfrm>
                    <a:prstGeom prst="rect">
                      <a:avLst/>
                    </a:prstGeom>
                    <a:noFill/>
                    <a:ln>
                      <a:noFill/>
                    </a:ln>
                  </pic:spPr>
                </pic:pic>
              </a:graphicData>
            </a:graphic>
          </wp:inline>
        </w:drawing>
      </w:r>
    </w:p>
    <w:p w14:paraId="71A280F8" w14:textId="77777777" w:rsidR="008E2CE0" w:rsidRPr="00F12F32" w:rsidRDefault="008E2CE0" w:rsidP="00F12F32">
      <w:pPr>
        <w:widowControl w:val="0"/>
        <w:autoSpaceDE w:val="0"/>
        <w:autoSpaceDN w:val="0"/>
        <w:adjustRightInd w:val="0"/>
        <w:spacing w:after="240" w:line="276" w:lineRule="auto"/>
        <w:jc w:val="both"/>
        <w:rPr>
          <w:rFonts w:ascii="Century Gothic" w:eastAsiaTheme="minorHAnsi" w:hAnsi="Century Gothic" w:cs="Arial Narrow"/>
          <w:lang w:val="es-ES" w:eastAsia="en-US"/>
        </w:rPr>
      </w:pPr>
    </w:p>
    <w:p w14:paraId="34689941" w14:textId="33C9A5F9" w:rsidR="008E2CE0" w:rsidRPr="00F12F32" w:rsidRDefault="008E2CE0"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Arial Narrow"/>
          <w:lang w:val="es-ES" w:eastAsia="en-US"/>
        </w:rPr>
        <w:t>Adicionalmente, se prevé que con ocasión de lo dispuesto en el parágrafo del artículo 14</w:t>
      </w:r>
      <w:r w:rsidR="00BE1614" w:rsidRPr="00F12F32">
        <w:rPr>
          <w:rStyle w:val="Refdenotaalpie"/>
          <w:rFonts w:ascii="Century Gothic" w:eastAsiaTheme="minorHAnsi" w:hAnsi="Century Gothic" w:cs="Arial Narrow"/>
          <w:lang w:val="es-ES" w:eastAsia="en-US"/>
        </w:rPr>
        <w:footnoteReference w:id="7"/>
      </w:r>
      <w:r w:rsidRPr="00F12F32">
        <w:rPr>
          <w:rFonts w:ascii="Century Gothic" w:eastAsiaTheme="minorHAnsi" w:hAnsi="Century Gothic" w:cs="Arial Narrow"/>
          <w:lang w:val="es-ES" w:eastAsia="en-US"/>
        </w:rPr>
        <w:t xml:space="preserve"> de la iniciativa, cada Magistrado de la Sala de Casación Civil, Agraria y Rural contaría como mínimo con un Magistrado Auxiliar con formación o experiencia en derecho agrario. La estimación de los costos de la implementación de la Especialidad Judicial Agraria y litigios agrarios y rurales, esto es los 322 despachos y equipos, a precios de 2021, actualizados al IPC, sería de </w:t>
      </w:r>
      <w:r w:rsidRPr="00F12F32">
        <w:rPr>
          <w:rFonts w:ascii="Century Gothic" w:eastAsiaTheme="minorHAnsi" w:hAnsi="Century Gothic" w:cs="Times"/>
          <w:b/>
          <w:u w:val="thick"/>
          <w:lang w:val="es-ES" w:eastAsia="en-US"/>
        </w:rPr>
        <w:t>$420.403 millones</w:t>
      </w:r>
      <w:r w:rsidRPr="00F12F32">
        <w:rPr>
          <w:rFonts w:ascii="Century Gothic" w:eastAsiaTheme="minorHAnsi" w:hAnsi="Century Gothic" w:cs="Arial Narrow"/>
          <w:lang w:val="es-ES" w:eastAsia="en-US"/>
        </w:rPr>
        <w:t xml:space="preserve">, como se observa en el Cuadro 2. </w:t>
      </w:r>
    </w:p>
    <w:p w14:paraId="4C7B5613" w14:textId="77777777" w:rsidR="00F911DD" w:rsidRPr="00F12F32" w:rsidRDefault="00F911DD"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p>
    <w:p w14:paraId="32A1EC52" w14:textId="77777777" w:rsidR="00F911DD" w:rsidRPr="00F12F32" w:rsidRDefault="00F911DD"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p>
    <w:p w14:paraId="7C69579B" w14:textId="034A7378" w:rsidR="008E2CE0" w:rsidRPr="00F12F32" w:rsidRDefault="00F911DD"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Times"/>
          <w:noProof/>
          <w:lang w:val="es-419" w:eastAsia="es-419"/>
        </w:rPr>
        <w:lastRenderedPageBreak/>
        <w:drawing>
          <wp:inline distT="0" distB="0" distL="0" distR="0" wp14:anchorId="0C763A4E" wp14:editId="32C3240A">
            <wp:extent cx="5609590" cy="4404995"/>
            <wp:effectExtent l="0" t="0" r="3810" b="0"/>
            <wp:docPr id="2" name="Imagen 2" descr="../../../../../Captura%20de%20pantalla%202021-11-09%20a%20las%203.54.46%2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20de%20pantalla%202021-11-09%20a%20las%203.54.46%20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9590" cy="4404995"/>
                    </a:xfrm>
                    <a:prstGeom prst="rect">
                      <a:avLst/>
                    </a:prstGeom>
                    <a:noFill/>
                    <a:ln>
                      <a:noFill/>
                    </a:ln>
                  </pic:spPr>
                </pic:pic>
              </a:graphicData>
            </a:graphic>
          </wp:inline>
        </w:drawing>
      </w:r>
    </w:p>
    <w:p w14:paraId="0F3E7082" w14:textId="67C33B09" w:rsidR="00F911DD" w:rsidRPr="00F12F32" w:rsidRDefault="00F911DD"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Times"/>
          <w:noProof/>
          <w:lang w:val="es-419" w:eastAsia="es-419"/>
        </w:rPr>
        <w:drawing>
          <wp:inline distT="0" distB="0" distL="0" distR="0" wp14:anchorId="5E14A90B" wp14:editId="6B0D688E">
            <wp:extent cx="5713095" cy="1615092"/>
            <wp:effectExtent l="0" t="0" r="1905" b="10795"/>
            <wp:docPr id="4" name="Imagen 4" descr="../../../../../Captura%20de%20pantalla%202021-11-09%20a%20las%203.55.16%2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20de%20pantalla%202021-11-09%20a%20las%203.55.16%20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254" cy="1618247"/>
                    </a:xfrm>
                    <a:prstGeom prst="rect">
                      <a:avLst/>
                    </a:prstGeom>
                    <a:noFill/>
                    <a:ln>
                      <a:noFill/>
                    </a:ln>
                  </pic:spPr>
                </pic:pic>
              </a:graphicData>
            </a:graphic>
          </wp:inline>
        </w:drawing>
      </w:r>
    </w:p>
    <w:p w14:paraId="4CF1B938" w14:textId="17AC4F39" w:rsidR="007C02C8" w:rsidRPr="00F12F32" w:rsidRDefault="007C02C8"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Times"/>
          <w:lang w:val="es-ES" w:eastAsia="en-US"/>
        </w:rPr>
        <w:t xml:space="preserve">Para el MHCP, </w:t>
      </w:r>
      <w:r w:rsidRPr="00F12F32">
        <w:rPr>
          <w:rFonts w:ascii="Century Gothic" w:eastAsiaTheme="minorHAnsi" w:hAnsi="Century Gothic" w:cs="Arial Narrow"/>
          <w:lang w:val="es-ES" w:eastAsia="en-US"/>
        </w:rPr>
        <w:t xml:space="preserve">siendo el costo anual estimado del proyecto en </w:t>
      </w:r>
      <w:r w:rsidRPr="00F12F32">
        <w:rPr>
          <w:rFonts w:ascii="Century Gothic" w:eastAsiaTheme="minorHAnsi" w:hAnsi="Century Gothic" w:cs="Times"/>
          <w:lang w:val="es-ES" w:eastAsia="en-US"/>
        </w:rPr>
        <w:t xml:space="preserve">$420.403 millones, </w:t>
      </w:r>
      <w:r w:rsidRPr="00F12F32">
        <w:rPr>
          <w:rFonts w:ascii="Century Gothic" w:eastAsiaTheme="minorHAnsi" w:hAnsi="Century Gothic" w:cs="Arial Narrow"/>
          <w:lang w:val="es-ES" w:eastAsia="en-US"/>
        </w:rPr>
        <w:t xml:space="preserve">éste no está contemplado en el actual Presupuesto de la Rama Judicial ni en las actuales proyecciones del Marco de Gastos de Mediano Plazo – MGMP del sector 2021-2024, ni el Marco Fiscal de Mediano Plazo – MFMP. En particular, la iniciativa generaría costos fiscales como mínimo del orden de </w:t>
      </w:r>
      <w:r w:rsidRPr="00DA0863">
        <w:rPr>
          <w:rFonts w:ascii="Century Gothic" w:eastAsiaTheme="minorHAnsi" w:hAnsi="Century Gothic" w:cs="Arial Narrow"/>
          <w:b/>
          <w:u w:val="thick"/>
          <w:lang w:val="es-ES" w:eastAsia="en-US"/>
        </w:rPr>
        <w:t>$420.403 millones</w:t>
      </w:r>
      <w:r w:rsidRPr="00F12F32">
        <w:rPr>
          <w:rFonts w:ascii="Century Gothic" w:eastAsiaTheme="minorHAnsi" w:hAnsi="Century Gothic" w:cs="Arial Narrow"/>
          <w:lang w:val="es-ES" w:eastAsia="en-US"/>
        </w:rPr>
        <w:t xml:space="preserve"> al año únicamente para el caso de la creación de despachos de la jurisdicción agraria y rural; </w:t>
      </w:r>
      <w:r w:rsidRPr="00DA0863">
        <w:rPr>
          <w:rFonts w:ascii="Century Gothic" w:eastAsiaTheme="minorHAnsi" w:hAnsi="Century Gothic" w:cs="Times"/>
          <w:b/>
          <w:u w:val="thick"/>
          <w:lang w:val="es-ES" w:eastAsia="en-US"/>
        </w:rPr>
        <w:t>$543.6 mil millones</w:t>
      </w:r>
      <w:r w:rsidRPr="00F12F32">
        <w:rPr>
          <w:rFonts w:ascii="Century Gothic" w:eastAsiaTheme="minorHAnsi" w:hAnsi="Century Gothic" w:cs="Times"/>
          <w:lang w:val="es-ES" w:eastAsia="en-US"/>
        </w:rPr>
        <w:t xml:space="preserve"> </w:t>
      </w:r>
      <w:r w:rsidRPr="00F12F32">
        <w:rPr>
          <w:rFonts w:ascii="Century Gothic" w:eastAsiaTheme="minorHAnsi" w:hAnsi="Century Gothic" w:cs="Arial Narrow"/>
          <w:lang w:val="es-ES" w:eastAsia="en-US"/>
        </w:rPr>
        <w:t xml:space="preserve">al año </w:t>
      </w:r>
      <w:r w:rsidRPr="00F12F32">
        <w:rPr>
          <w:rFonts w:ascii="Century Gothic" w:eastAsiaTheme="minorHAnsi" w:hAnsi="Century Gothic" w:cs="Arial Narrow"/>
          <w:lang w:val="es-ES" w:eastAsia="en-US"/>
        </w:rPr>
        <w:lastRenderedPageBreak/>
        <w:t xml:space="preserve">para garantizar que en cada municipio haya un juez y un fiscal, </w:t>
      </w:r>
      <w:r w:rsidRPr="00DA0863">
        <w:rPr>
          <w:rFonts w:ascii="Century Gothic" w:eastAsiaTheme="minorHAnsi" w:hAnsi="Century Gothic" w:cs="Arial Narrow"/>
          <w:b/>
          <w:u w:val="thick"/>
          <w:lang w:val="es-ES" w:eastAsia="en-US"/>
        </w:rPr>
        <w:t xml:space="preserve">y </w:t>
      </w:r>
      <w:r w:rsidRPr="00DA0863">
        <w:rPr>
          <w:rFonts w:ascii="Century Gothic" w:eastAsiaTheme="minorHAnsi" w:hAnsi="Century Gothic" w:cs="Times"/>
          <w:b/>
          <w:u w:val="thick"/>
          <w:lang w:val="es-ES" w:eastAsia="en-US"/>
        </w:rPr>
        <w:t xml:space="preserve">$8.2 billones </w:t>
      </w:r>
      <w:r w:rsidRPr="00F12F32">
        <w:rPr>
          <w:rFonts w:ascii="Century Gothic" w:eastAsiaTheme="minorHAnsi" w:hAnsi="Century Gothic" w:cs="Times"/>
          <w:lang w:val="es-ES" w:eastAsia="en-US"/>
        </w:rPr>
        <w:t xml:space="preserve">anuales </w:t>
      </w:r>
      <w:r w:rsidRPr="00F12F32">
        <w:rPr>
          <w:rFonts w:ascii="Century Gothic" w:eastAsiaTheme="minorHAnsi" w:hAnsi="Century Gothic" w:cs="Arial Narrow"/>
          <w:lang w:val="es-ES" w:eastAsia="en-US"/>
        </w:rPr>
        <w:t xml:space="preserve">por concepto de alcanzar el estándar OCDE de 65 jueces por cada 100.000 habitantes. </w:t>
      </w:r>
    </w:p>
    <w:p w14:paraId="705B82B1" w14:textId="2227739A" w:rsidR="007C02C8" w:rsidRPr="00F12F32" w:rsidRDefault="007C02C8"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Arial Narrow"/>
          <w:lang w:val="es-ES" w:eastAsia="en-US"/>
        </w:rPr>
        <w:t>Estos recursos corresponden a un costo adicional para las vigencias futuras que no está financiado y estaría supeditado a lo dispuesto en el artículo 51 de la Ley 1955 de 2019, que consagra que las modificaciones a los gastos de personal de las entidades públicas nacionales no podrán afectar programas y servicios esenciales a cargo de la respectiva entidad, y deberán guardar consistencia con el Marco Fiscal de Mediano Plazo, el Marco de Gasto de Mediano Plazo del respectivo sector, y garantizar el cumplimiento de la regla fiscal establecida en la Ley 1473 de 2011</w:t>
      </w:r>
      <w:r w:rsidRPr="00F12F32">
        <w:rPr>
          <w:rFonts w:ascii="Century Gothic" w:eastAsiaTheme="minorHAnsi" w:hAnsi="Century Gothic" w:cs="Arial Narrow"/>
          <w:position w:val="8"/>
          <w:lang w:val="es-ES" w:eastAsia="en-US"/>
        </w:rPr>
        <w:t xml:space="preserve"> </w:t>
      </w:r>
      <w:r w:rsidRPr="00F12F32">
        <w:rPr>
          <w:rFonts w:ascii="Century Gothic" w:eastAsiaTheme="minorHAnsi" w:hAnsi="Century Gothic" w:cs="Arial Narrow"/>
          <w:lang w:val="es-ES" w:eastAsia="en-US"/>
        </w:rPr>
        <w:t xml:space="preserve">modificada por el artículo 60 de la Ley 2155 de 2021, para lo cual el Ministerio de Hacienda y Crédito Público verificará el cumplimiento de estas condiciones y otorgará la viabilidad presupuestal. </w:t>
      </w:r>
    </w:p>
    <w:p w14:paraId="5A3C8248" w14:textId="5740BC42" w:rsidR="00F911DD" w:rsidRPr="00F12F32" w:rsidRDefault="00E65A50"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Times"/>
          <w:lang w:val="es-ES" w:eastAsia="en-US"/>
        </w:rPr>
        <w:t xml:space="preserve">Igualmente, no se puede olvidar que </w:t>
      </w:r>
      <w:r w:rsidRPr="00F12F32">
        <w:rPr>
          <w:rFonts w:ascii="Century Gothic" w:eastAsiaTheme="minorHAnsi" w:hAnsi="Century Gothic" w:cs="Arial Narrow"/>
          <w:lang w:val="es-ES" w:eastAsia="en-US"/>
        </w:rPr>
        <w:t>el artículo 14 de la Ley 2063 de 2020</w:t>
      </w:r>
      <w:r w:rsidRPr="00F12F32">
        <w:rPr>
          <w:rFonts w:ascii="Century Gothic" w:eastAsiaTheme="minorHAnsi" w:hAnsi="Century Gothic" w:cs="Arial Narrow"/>
          <w:position w:val="8"/>
          <w:lang w:val="es-ES" w:eastAsia="en-US"/>
        </w:rPr>
        <w:t xml:space="preserve"> </w:t>
      </w:r>
      <w:r w:rsidRPr="00F12F32">
        <w:rPr>
          <w:rFonts w:ascii="Century Gothic" w:eastAsiaTheme="minorHAnsi" w:hAnsi="Century Gothic" w:cs="Arial Narrow"/>
          <w:lang w:val="es-ES" w:eastAsia="en-US"/>
        </w:rPr>
        <w:t xml:space="preserve">consagra que cualquier modificación a las plantas de personal requerirá la aprobación del Departamento Administrativo de la Función Pública, previo concepto o viabilidad presupuestal del MHCP. </w:t>
      </w:r>
    </w:p>
    <w:p w14:paraId="3E028745" w14:textId="6983029F" w:rsidR="00E65A50" w:rsidRPr="00F12F32" w:rsidRDefault="00E65A50" w:rsidP="00F12F32">
      <w:pPr>
        <w:widowControl w:val="0"/>
        <w:autoSpaceDE w:val="0"/>
        <w:autoSpaceDN w:val="0"/>
        <w:adjustRightInd w:val="0"/>
        <w:spacing w:after="240" w:line="276" w:lineRule="auto"/>
        <w:jc w:val="both"/>
        <w:rPr>
          <w:rFonts w:ascii="Century Gothic" w:eastAsiaTheme="minorHAnsi" w:hAnsi="Century Gothic" w:cs="Arial Narrow"/>
          <w:lang w:val="es-ES" w:eastAsia="en-US"/>
        </w:rPr>
      </w:pPr>
      <w:r w:rsidRPr="00F12F32">
        <w:rPr>
          <w:rFonts w:ascii="Century Gothic" w:eastAsiaTheme="minorHAnsi" w:hAnsi="Century Gothic" w:cs="Arial Narrow"/>
          <w:lang w:val="es-ES" w:eastAsia="en-US"/>
        </w:rPr>
        <w:t xml:space="preserve">Por su parte, en relación con los costos asociados, es necesario tener en cuenta que estas iniciativas legislativas deben alinearse y cumplir con el mandato constitucional del acto legislativo 03 de 2011 por medio del cual se modifica el artículo 334 de la Constitución Política el cual menciona que la sostenibilidad fiscal debe orientar a las Ramas y Órganos del Poder Público, dentro de sus competencias, en un marco de colaboración armónica. Esto implica que los gastos implícitos de la iniciativa, que en cualquier caso a la fecha son incuantificables, no deben erosionar los principios de sostenibilidad fiscal y estabilidad macroeconómica, los cuales hacen parte fundamental de la estrategia de desarrollo social del país, y constituyen un bien público que se debe preservar por parte de todos los niveles de decisión de las diferentes ramas del poder público y de los órganos autónomos e independientes. </w:t>
      </w:r>
    </w:p>
    <w:p w14:paraId="57B0CA88" w14:textId="77777777" w:rsidR="00E65A50" w:rsidRPr="00F12F32" w:rsidRDefault="00E65A50"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Arial Narrow"/>
          <w:lang w:val="es-ES" w:eastAsia="en-US"/>
        </w:rPr>
        <w:t>Aunado a lo anterior, se debe tener en cuenta que recientemente se aprobó la Ley “</w:t>
      </w:r>
      <w:r w:rsidRPr="00F12F32">
        <w:rPr>
          <w:rFonts w:ascii="Century Gothic" w:eastAsiaTheme="minorHAnsi" w:hAnsi="Century Gothic" w:cs="Times"/>
          <w:lang w:val="es-ES" w:eastAsia="en-US"/>
        </w:rPr>
        <w:t xml:space="preserve">por medio de la cual se modifica la ley 270 de 1996 – estatutaria de la administración de justicia y se dictan otras disposiciones”, </w:t>
      </w:r>
      <w:r w:rsidRPr="00F12F32">
        <w:rPr>
          <w:rFonts w:ascii="Century Gothic" w:eastAsiaTheme="minorHAnsi" w:hAnsi="Century Gothic" w:cs="Arial Narrow"/>
          <w:lang w:val="es-ES" w:eastAsia="en-US"/>
        </w:rPr>
        <w:lastRenderedPageBreak/>
        <w:t xml:space="preserve">mediante la cual se atendieron muchas necesidades en relación con la estructura y funcionamiento de la rama judicial en el marco de su administración de justicia; aprobación que implicó un compromiso de gasto de gran impacto por parte de la Nación, por lo que resulta indispensable revisar la necesidad del presente proyecto legislativo en línea con la colaboración armónica por la que propende el acto legislativo antes enunciado y un mantenimiento de las finanzas de la Nación que actualmente se ven deterioradas como consecuencia de la crisis por la que atraviesa el país en materia económica y social. </w:t>
      </w:r>
    </w:p>
    <w:p w14:paraId="390D168A" w14:textId="50642251" w:rsidR="00E65A50" w:rsidRPr="00F12F32" w:rsidRDefault="00E65A50" w:rsidP="00F12F32">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Times"/>
          <w:lang w:val="es-ES" w:eastAsia="en-US"/>
        </w:rPr>
        <w:t xml:space="preserve">Como refuerzo a lo anterior, el MHCP sostiene que </w:t>
      </w:r>
      <w:r w:rsidRPr="00F12F32">
        <w:rPr>
          <w:rFonts w:ascii="Century Gothic" w:eastAsiaTheme="minorHAnsi" w:hAnsi="Century Gothic" w:cs="Arial Narrow"/>
          <w:lang w:val="es-ES" w:eastAsia="en-US"/>
        </w:rPr>
        <w:t xml:space="preserve">advierte que la implementación de lo dispuesto por los artículos 12, 122, 127 y 133 de la iniciativa, relacionados con el desplazamiento de Jueces Agrarios y Rurales de la jurisdicción ordinaria y de la jurisdicción de lo contencioso administrativo a los municipios definidos en el Decreto-Ley 893 de 2017, así como el apoyo a mecanismos alternativos de resolución de conflictos por parte del Gobierno Nacional y la promoción de los derechos de las mujeres rurales mediante mecanismos de asesoría, representación y formación especial, y la modalidad de servicio móvil de justicia, generarían erogaciones adicionales a las previstas actualmente por parte de las Entidades competentes y en el Marco de Gasto del Sector. Sin embargo, no se evidencia en la exposición de motivos del Proyecto de Ley estimación alguna sobre el impacto fiscal de estas obligaciones. </w:t>
      </w:r>
    </w:p>
    <w:p w14:paraId="6E9D7E9B" w14:textId="19A2DA81" w:rsidR="00AF2BA7" w:rsidRPr="000E2E69" w:rsidRDefault="00E65A50" w:rsidP="000E2E69">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F12F32">
        <w:rPr>
          <w:rFonts w:ascii="Century Gothic" w:eastAsiaTheme="minorHAnsi" w:hAnsi="Century Gothic" w:cs="Times"/>
          <w:lang w:val="es-ES" w:eastAsia="en-US"/>
        </w:rPr>
        <w:t xml:space="preserve">Por último, </w:t>
      </w:r>
      <w:r w:rsidR="00F12F32" w:rsidRPr="00F12F32">
        <w:rPr>
          <w:rFonts w:ascii="Century Gothic" w:eastAsiaTheme="minorHAnsi" w:hAnsi="Century Gothic" w:cs="Times"/>
          <w:lang w:val="es-ES" w:eastAsia="en-US"/>
        </w:rPr>
        <w:t xml:space="preserve">valga recordar la importancia de dar cumplimiento </w:t>
      </w:r>
      <w:r w:rsidR="00F12F32" w:rsidRPr="00F12F32">
        <w:rPr>
          <w:rFonts w:ascii="Century Gothic" w:eastAsiaTheme="minorHAnsi" w:hAnsi="Century Gothic" w:cs="Arial Narrow"/>
          <w:lang w:val="es-ES" w:eastAsia="en-US"/>
        </w:rPr>
        <w:t xml:space="preserve">al artículo 7 de la Ley 819 de 2003,en virtud del cual toda iniciativa legislativa debe hacer explícita su compatibilidad con el Marco Fiscal de Mediano Plazo, y debe incluir expresamente en la exposición de motivos y en las ponencias de trámite respectivas, los costos fiscales de la iniciativa y la fuente de ingreso adicional generada para el respectivo financiamiento. </w:t>
      </w:r>
    </w:p>
    <w:p w14:paraId="3DFC263D" w14:textId="181FDC1E" w:rsidR="00AF2BA7" w:rsidRPr="00DA0863" w:rsidRDefault="00F12F32" w:rsidP="00DA0863">
      <w:pPr>
        <w:widowControl w:val="0"/>
        <w:autoSpaceDE w:val="0"/>
        <w:autoSpaceDN w:val="0"/>
        <w:adjustRightInd w:val="0"/>
        <w:spacing w:after="240" w:line="276" w:lineRule="auto"/>
        <w:jc w:val="both"/>
        <w:rPr>
          <w:rFonts w:ascii="Century Gothic" w:eastAsiaTheme="minorHAnsi" w:hAnsi="Century Gothic" w:cs="Times"/>
          <w:lang w:val="es-ES" w:eastAsia="en-US"/>
        </w:rPr>
      </w:pPr>
      <w:r w:rsidRPr="00DA0863">
        <w:rPr>
          <w:rFonts w:ascii="Century Gothic" w:hAnsi="Century Gothic"/>
        </w:rPr>
        <w:t>Teniendo en cuenta los</w:t>
      </w:r>
      <w:r w:rsidRPr="00F12F32">
        <w:rPr>
          <w:rFonts w:ascii="Century Gothic" w:hAnsi="Century Gothic"/>
          <w:b/>
        </w:rPr>
        <w:t xml:space="preserve"> </w:t>
      </w:r>
      <w:r w:rsidRPr="00F12F32">
        <w:rPr>
          <w:rFonts w:ascii="Century Gothic" w:eastAsiaTheme="minorHAnsi" w:hAnsi="Century Gothic" w:cs="Arial Narrow"/>
          <w:lang w:val="es-ES" w:eastAsia="en-US"/>
        </w:rPr>
        <w:t xml:space="preserve">elevados costos que representaría su implementación en el contexto fiscal actual, comoquiera que no es compatible con el Marco Fiscal de Mediano Plazo (MFMP), y </w:t>
      </w:r>
      <w:r w:rsidR="00AF2BA7" w:rsidRPr="00DA0863">
        <w:rPr>
          <w:rFonts w:ascii="Century Gothic" w:hAnsi="Century Gothic"/>
        </w:rPr>
        <w:t xml:space="preserve">con el ánimo de no generar falsas expectativas </w:t>
      </w:r>
      <w:r w:rsidRPr="00DA0863">
        <w:rPr>
          <w:rFonts w:ascii="Century Gothic" w:hAnsi="Century Gothic"/>
        </w:rPr>
        <w:t>a la ciudadanía, se pone a consideración el archivo de esta iniciativa</w:t>
      </w:r>
      <w:r w:rsidRPr="00F12F32">
        <w:rPr>
          <w:rFonts w:ascii="Century Gothic" w:hAnsi="Century Gothic"/>
          <w:b/>
        </w:rPr>
        <w:t xml:space="preserve"> </w:t>
      </w:r>
      <w:r w:rsidRPr="00DA0863">
        <w:rPr>
          <w:rFonts w:ascii="Century Gothic" w:hAnsi="Century Gothic"/>
        </w:rPr>
        <w:t xml:space="preserve">mientras se logra estructurar un proyecto consensuado que se ubique </w:t>
      </w:r>
      <w:r w:rsidRPr="00F12F32">
        <w:rPr>
          <w:rFonts w:ascii="Century Gothic" w:eastAsiaTheme="minorHAnsi" w:hAnsi="Century Gothic" w:cs="Arial Narrow"/>
          <w:lang w:val="es-ES" w:eastAsia="en-US"/>
        </w:rPr>
        <w:t xml:space="preserve">dentro de los parámetros constitucionales y legales de disciplina fiscal vigente.  </w:t>
      </w:r>
    </w:p>
    <w:p w14:paraId="65FA35F2" w14:textId="77777777" w:rsidR="00A6080F" w:rsidRPr="00F12F32" w:rsidRDefault="00A6080F" w:rsidP="00F12F32">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rPr>
      </w:pPr>
    </w:p>
    <w:p w14:paraId="3CBE0906" w14:textId="77777777" w:rsidR="00A6736C" w:rsidRPr="00F12F32" w:rsidRDefault="00A6736C" w:rsidP="00F12F32">
      <w:pPr>
        <w:pStyle w:val="Normal0"/>
        <w:numPr>
          <w:ilvl w:val="0"/>
          <w:numId w:val="8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b/>
        </w:rPr>
      </w:pPr>
      <w:r w:rsidRPr="00F12F32">
        <w:rPr>
          <w:rFonts w:ascii="Century Gothic" w:hAnsi="Century Gothic"/>
          <w:b/>
        </w:rPr>
        <w:t>RELACI</w:t>
      </w:r>
      <w:r w:rsidRPr="00F12F32">
        <w:rPr>
          <w:rFonts w:ascii="Century Gothic" w:eastAsia="Helvetica" w:hAnsi="Century Gothic" w:cs="Helvetica"/>
          <w:b/>
        </w:rPr>
        <w:t>ÓN DE POSIBLES CONFLICTOS DE INTERÉS</w:t>
      </w:r>
    </w:p>
    <w:p w14:paraId="616CF38F" w14:textId="77777777" w:rsidR="00A6736C" w:rsidRPr="00F12F32" w:rsidRDefault="00A6736C" w:rsidP="00F12F32">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Century Gothic" w:hAnsi="Century Gothic"/>
          <w:b/>
        </w:rPr>
      </w:pPr>
    </w:p>
    <w:p w14:paraId="2BC8A09F" w14:textId="0FD06125" w:rsidR="00A6736C" w:rsidRPr="00F12F32" w:rsidRDefault="00A6736C"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r w:rsidRPr="00F12F32">
        <w:rPr>
          <w:rFonts w:ascii="Century Gothic" w:hAnsi="Century Gothic"/>
        </w:rPr>
        <w:t>Teniendo en cuenta lo establecido en el art</w:t>
      </w:r>
      <w:r w:rsidRPr="00F12F32">
        <w:rPr>
          <w:rFonts w:ascii="Century Gothic" w:eastAsia="Helvetica" w:hAnsi="Century Gothic" w:cs="Helvetica"/>
        </w:rPr>
        <w:t>í</w:t>
      </w:r>
      <w:r w:rsidRPr="00F12F32">
        <w:rPr>
          <w:rFonts w:ascii="Century Gothic" w:hAnsi="Century Gothic"/>
        </w:rPr>
        <w:t>culo 3 de la Ley 2003 del 19 de noviembre de 2019, por la cual se modifica parcialmente la Ley 5 de 1992 y se dictan otras disposiciones, que modifica el art</w:t>
      </w:r>
      <w:r w:rsidRPr="00F12F32">
        <w:rPr>
          <w:rFonts w:ascii="Century Gothic" w:eastAsia="Helvetica" w:hAnsi="Century Gothic" w:cs="Helvetica"/>
        </w:rPr>
        <w:t>ículo 291 de la Ley 5 de 1992, en la que se estableció que el autor del proyecto y el ponente prese</w:t>
      </w:r>
      <w:r w:rsidRPr="00F12F32">
        <w:rPr>
          <w:rFonts w:ascii="Century Gothic" w:hAnsi="Century Gothic"/>
        </w:rPr>
        <w:t>ntar</w:t>
      </w:r>
      <w:r w:rsidRPr="00F12F32">
        <w:rPr>
          <w:rFonts w:ascii="Century Gothic" w:eastAsia="Helvetica" w:hAnsi="Century Gothic" w:cs="Helvetica"/>
        </w:rPr>
        <w:t xml:space="preserve">án en la exposición de motivos un acápite que describa las circunstancias o eventos que podrán generar un conflicto de interés para la discusión y votación del proyecto, se considera que el presente proyecto de ley </w:t>
      </w:r>
      <w:r w:rsidR="00F12F32" w:rsidRPr="00F12F32">
        <w:rPr>
          <w:rFonts w:ascii="Century Gothic" w:eastAsia="Helvetica" w:hAnsi="Century Gothic" w:cs="Helvetica"/>
        </w:rPr>
        <w:t xml:space="preserve">en revisión </w:t>
      </w:r>
      <w:r w:rsidRPr="00F12F32">
        <w:rPr>
          <w:rFonts w:ascii="Century Gothic" w:eastAsia="Helvetica" w:hAnsi="Century Gothic" w:cs="Helvetica"/>
        </w:rPr>
        <w:t xml:space="preserve">no genera conflictos de interés </w:t>
      </w:r>
      <w:r w:rsidR="00F12F32" w:rsidRPr="00F12F32">
        <w:rPr>
          <w:rFonts w:ascii="Century Gothic" w:eastAsia="Helvetica" w:hAnsi="Century Gothic" w:cs="Helvetica"/>
        </w:rPr>
        <w:t>toda vez</w:t>
      </w:r>
      <w:r w:rsidRPr="00F12F32">
        <w:rPr>
          <w:rFonts w:ascii="Century Gothic" w:eastAsia="Helvetica" w:hAnsi="Century Gothic" w:cs="Helvetica"/>
        </w:rPr>
        <w:t xml:space="preserve"> que se trata de un proyecto que no genera un beneficio particular, actual y directo a los congresistas, de conformidad con lo establecido en el artículo 1 de la Ley 2003 de 19 de noviembre de 2019; sino que, por el contrario, se trata de una modif</w:t>
      </w:r>
      <w:r w:rsidRPr="00F12F32">
        <w:rPr>
          <w:rFonts w:ascii="Century Gothic" w:hAnsi="Century Gothic"/>
        </w:rPr>
        <w:t>icaci</w:t>
      </w:r>
      <w:r w:rsidRPr="00F12F32">
        <w:rPr>
          <w:rFonts w:ascii="Century Gothic" w:eastAsia="Helvetica" w:hAnsi="Century Gothic" w:cs="Helvetica"/>
        </w:rPr>
        <w:t>ón de una norma de procedimiento general, por tanto, el beneficio no puede ser particular.</w:t>
      </w:r>
    </w:p>
    <w:p w14:paraId="4AC6CE46" w14:textId="77777777" w:rsidR="00A6736C" w:rsidRPr="00F12F32" w:rsidRDefault="00A6736C"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0FB519FB" w14:textId="5F853002" w:rsidR="00270571" w:rsidRDefault="00A6736C"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i/>
        </w:rPr>
      </w:pPr>
      <w:r w:rsidRPr="00F12F32">
        <w:rPr>
          <w:rFonts w:ascii="Century Gothic" w:hAnsi="Century Gothic"/>
        </w:rPr>
        <w:t>Sobre este asunto ha se</w:t>
      </w:r>
      <w:r w:rsidRPr="00F12F32">
        <w:rPr>
          <w:rFonts w:ascii="Century Gothic" w:eastAsia="Helvetica" w:hAnsi="Century Gothic" w:cs="Helvetica"/>
        </w:rPr>
        <w:t xml:space="preserve">ñalado el Consejo de Estado </w:t>
      </w:r>
      <w:r w:rsidRPr="00F12F32">
        <w:rPr>
          <w:rFonts w:ascii="Century Gothic" w:eastAsia="Helvetica" w:hAnsi="Century Gothic" w:cs="Helvetica"/>
          <w:i/>
        </w:rPr>
        <w:t xml:space="preserve">“No cualquier interés configura la causal de desinvestidura en comento, pues se sabe que sólo lo será aquél </w:t>
      </w:r>
      <w:r w:rsidRPr="00F12F32">
        <w:rPr>
          <w:rFonts w:ascii="Century Gothic" w:hAnsi="Century Gothic"/>
          <w:i/>
        </w:rPr>
        <w:t>del que se pueda predicar que es directo, esto es, que per se el alegado beneficio, provecho o utilidad encuentre su fuente en el asunto que fue conocido por el legislador; particular, que el mismo sea espec</w:t>
      </w:r>
      <w:r w:rsidRPr="00F12F32">
        <w:rPr>
          <w:rFonts w:ascii="Century Gothic" w:eastAsia="Helvetica" w:hAnsi="Century Gothic" w:cs="Helvetica"/>
          <w:i/>
        </w:rPr>
        <w:t>ífico o personal, bien para el congresista o quie</w:t>
      </w:r>
      <w:r w:rsidRPr="00F12F32">
        <w:rPr>
          <w:rFonts w:ascii="Century Gothic" w:hAnsi="Century Gothic"/>
          <w:i/>
        </w:rPr>
        <w:t xml:space="preserve">nes se encuentren relacionados con </w:t>
      </w:r>
      <w:r w:rsidRPr="00F12F32">
        <w:rPr>
          <w:rFonts w:ascii="Century Gothic" w:eastAsia="Helvetica" w:hAnsi="Century Gothic" w:cs="Helvetica"/>
          <w:i/>
        </w:rPr>
        <w:t>él; y actual o inmediato, que concurra para el momento en que ocurrió la participación o votación del congresista, lo que excluye sucesos contingentes, futuros o imprevisibles. También se tiene noticia que el interés pued</w:t>
      </w:r>
      <w:r w:rsidRPr="00F12F32">
        <w:rPr>
          <w:rFonts w:ascii="Century Gothic" w:hAnsi="Century Gothic"/>
          <w:i/>
        </w:rPr>
        <w:t>e ser de cualquier naturaleza, esto es, econ</w:t>
      </w:r>
      <w:r w:rsidRPr="00F12F32">
        <w:rPr>
          <w:rFonts w:ascii="Century Gothic" w:eastAsia="Helvetica" w:hAnsi="Century Gothic" w:cs="Helvetica"/>
          <w:i/>
        </w:rPr>
        <w:t>ómico o moral, sin distinción alguna”</w:t>
      </w:r>
      <w:r w:rsidRPr="00F12F32">
        <w:rPr>
          <w:rFonts w:ascii="Century Gothic" w:hAnsi="Century Gothic"/>
          <w:i/>
          <w:vertAlign w:val="superscript"/>
        </w:rPr>
        <w:footnoteReference w:id="8"/>
      </w:r>
      <w:r w:rsidR="00CB1679" w:rsidRPr="00F12F32">
        <w:rPr>
          <w:rFonts w:ascii="Century Gothic" w:eastAsia="Helvetica" w:hAnsi="Century Gothic" w:cs="Helvetica"/>
          <w:i/>
        </w:rPr>
        <w:t>.</w:t>
      </w:r>
    </w:p>
    <w:p w14:paraId="138FA508" w14:textId="77777777" w:rsidR="000E2E69" w:rsidRDefault="000E2E69"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i/>
        </w:rPr>
      </w:pPr>
    </w:p>
    <w:p w14:paraId="08BAD164" w14:textId="77777777" w:rsidR="000E2E69" w:rsidRDefault="000E2E69"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i/>
        </w:rPr>
      </w:pPr>
    </w:p>
    <w:p w14:paraId="01FFA6A0" w14:textId="77777777" w:rsidR="000E2E69" w:rsidRDefault="000E2E69"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i/>
        </w:rPr>
      </w:pPr>
    </w:p>
    <w:p w14:paraId="47A7EB91" w14:textId="77777777" w:rsidR="000E2E69" w:rsidRPr="00F12F32" w:rsidRDefault="000E2E69"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eastAsia="Helvetica" w:hAnsi="Century Gothic" w:cs="Helvetica"/>
          <w:i/>
        </w:rPr>
      </w:pPr>
    </w:p>
    <w:p w14:paraId="51B318A7" w14:textId="77777777" w:rsidR="00CB1679" w:rsidRPr="00F12F32" w:rsidRDefault="00CB1679"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i/>
        </w:rPr>
      </w:pPr>
    </w:p>
    <w:p w14:paraId="1A1665CE" w14:textId="77777777" w:rsidR="00A6736C" w:rsidRPr="00F12F32" w:rsidRDefault="00A6736C"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left="720"/>
        <w:jc w:val="both"/>
        <w:rPr>
          <w:rFonts w:ascii="Century Gothic" w:hAnsi="Century Gothic"/>
        </w:rPr>
      </w:pPr>
    </w:p>
    <w:p w14:paraId="684C616E" w14:textId="77777777" w:rsidR="00A6736C" w:rsidRPr="00F12F32" w:rsidRDefault="00A6736C" w:rsidP="00F12F32">
      <w:pPr>
        <w:pStyle w:val="Normal0"/>
        <w:numPr>
          <w:ilvl w:val="0"/>
          <w:numId w:val="8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r w:rsidRPr="00F12F32">
        <w:rPr>
          <w:rFonts w:ascii="Century Gothic" w:hAnsi="Century Gothic"/>
          <w:b/>
        </w:rPr>
        <w:lastRenderedPageBreak/>
        <w:t>PROPOSICI</w:t>
      </w:r>
      <w:r w:rsidRPr="00F12F32">
        <w:rPr>
          <w:rFonts w:ascii="Century Gothic" w:eastAsia="Helvetica" w:hAnsi="Century Gothic" w:cs="Helvetica"/>
          <w:b/>
        </w:rPr>
        <w:t>ÓN</w:t>
      </w:r>
    </w:p>
    <w:p w14:paraId="5542B1BF" w14:textId="77777777" w:rsidR="00A6736C" w:rsidRPr="00F12F32" w:rsidRDefault="00A6736C"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b/>
        </w:rPr>
      </w:pPr>
    </w:p>
    <w:p w14:paraId="7AA9BEBB" w14:textId="1658B9D6" w:rsidR="00A6736C" w:rsidRPr="00F12F32" w:rsidRDefault="00A6736C"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r w:rsidRPr="00F12F32">
        <w:rPr>
          <w:rFonts w:ascii="Century Gothic" w:hAnsi="Century Gothic"/>
        </w:rPr>
        <w:t xml:space="preserve">Con fundamento en las anteriores consideraciones, </w:t>
      </w:r>
      <w:r w:rsidR="00F12F32" w:rsidRPr="00F12F32">
        <w:rPr>
          <w:rFonts w:ascii="Century Gothic" w:hAnsi="Century Gothic"/>
        </w:rPr>
        <w:t xml:space="preserve">solicito </w:t>
      </w:r>
      <w:r w:rsidR="00544E6E" w:rsidRPr="00F12F32">
        <w:rPr>
          <w:rFonts w:ascii="Century Gothic" w:hAnsi="Century Gothic"/>
        </w:rPr>
        <w:t>a la Honorab</w:t>
      </w:r>
      <w:r w:rsidR="00A6080F" w:rsidRPr="00F12F32">
        <w:rPr>
          <w:rFonts w:ascii="Century Gothic" w:hAnsi="Century Gothic"/>
        </w:rPr>
        <w:t>l</w:t>
      </w:r>
      <w:r w:rsidR="00544E6E" w:rsidRPr="00F12F32">
        <w:rPr>
          <w:rFonts w:ascii="Century Gothic" w:hAnsi="Century Gothic"/>
        </w:rPr>
        <w:t xml:space="preserve">e Plenaria de la </w:t>
      </w:r>
      <w:r w:rsidRPr="00F12F32">
        <w:rPr>
          <w:rFonts w:ascii="Century Gothic" w:hAnsi="Century Gothic"/>
        </w:rPr>
        <w:t>C</w:t>
      </w:r>
      <w:r w:rsidRPr="00F12F32">
        <w:rPr>
          <w:rFonts w:ascii="Century Gothic" w:eastAsia="Helvetica" w:hAnsi="Century Gothic" w:cs="Helvetica"/>
        </w:rPr>
        <w:t>á</w:t>
      </w:r>
      <w:r w:rsidRPr="00F12F32">
        <w:rPr>
          <w:rFonts w:ascii="Century Gothic" w:hAnsi="Century Gothic"/>
        </w:rPr>
        <w:t xml:space="preserve">mara de Representantes </w:t>
      </w:r>
      <w:r w:rsidR="00F12F32" w:rsidRPr="00F12F32">
        <w:rPr>
          <w:rFonts w:ascii="Century Gothic" w:hAnsi="Century Gothic"/>
        </w:rPr>
        <w:t>el archivo del</w:t>
      </w:r>
      <w:r w:rsidRPr="00F12F32">
        <w:rPr>
          <w:rFonts w:ascii="Century Gothic" w:hAnsi="Century Gothic"/>
        </w:rPr>
        <w:t xml:space="preserve"> </w:t>
      </w:r>
      <w:r w:rsidR="00587516" w:rsidRPr="00F12F32">
        <w:rPr>
          <w:rFonts w:ascii="Century Gothic" w:hAnsi="Century Gothic"/>
        </w:rPr>
        <w:t>Proyecto de Ley Estatutaria 143 de 2021 C</w:t>
      </w:r>
      <w:r w:rsidR="00587516" w:rsidRPr="00F12F32">
        <w:rPr>
          <w:rFonts w:ascii="Century Gothic" w:eastAsia="Helvetica" w:hAnsi="Century Gothic" w:cs="Helvetica"/>
        </w:rPr>
        <w:t>á</w:t>
      </w:r>
      <w:r w:rsidR="00587516" w:rsidRPr="00F12F32">
        <w:rPr>
          <w:rFonts w:ascii="Century Gothic" w:hAnsi="Century Gothic"/>
        </w:rPr>
        <w:t xml:space="preserve">mara, </w:t>
      </w:r>
      <w:r w:rsidR="00587516" w:rsidRPr="00F12F32">
        <w:rPr>
          <w:rFonts w:ascii="Century Gothic" w:eastAsia="Helvetica" w:hAnsi="Century Gothic" w:cs="Helvetica"/>
        </w:rPr>
        <w:t xml:space="preserve">“Por la cual se crea una especialidad judicial agraria y rural, se establecen los mecanismos para la resolución de controversias y litigios agrarios y rurales y </w:t>
      </w:r>
      <w:r w:rsidR="00F12F32" w:rsidRPr="00F12F32">
        <w:rPr>
          <w:rFonts w:ascii="Century Gothic" w:eastAsia="Helvetica" w:hAnsi="Century Gothic" w:cs="Helvetica"/>
        </w:rPr>
        <w:t>se dictan otras disposiciones”.</w:t>
      </w:r>
    </w:p>
    <w:p w14:paraId="5D06FDAC" w14:textId="77777777" w:rsidR="00587516" w:rsidRPr="00F12F32" w:rsidRDefault="00587516"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703EA57E" w14:textId="77777777" w:rsidR="00587516" w:rsidRPr="00F12F32" w:rsidRDefault="00587516" w:rsidP="00F12F32">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Century Gothic" w:hAnsi="Century Gothic"/>
        </w:rPr>
      </w:pPr>
    </w:p>
    <w:p w14:paraId="4F61C242" w14:textId="1965288A" w:rsidR="00F12F32" w:rsidRPr="00F12F32" w:rsidRDefault="00F12F32" w:rsidP="00F12F32">
      <w:pPr>
        <w:spacing w:line="276" w:lineRule="auto"/>
        <w:ind w:right="193"/>
        <w:jc w:val="both"/>
        <w:textAlignment w:val="center"/>
        <w:rPr>
          <w:rFonts w:ascii="Century Gothic" w:hAnsi="Century Gothic" w:cs="Arial"/>
          <w:iCs/>
          <w:color w:val="000000" w:themeColor="text1"/>
          <w:lang w:eastAsia="es-CO"/>
        </w:rPr>
      </w:pPr>
      <w:r w:rsidRPr="00F12F32">
        <w:rPr>
          <w:rFonts w:ascii="Century Gothic" w:hAnsi="Century Gothic" w:cs="Arial"/>
          <w:iCs/>
          <w:color w:val="000000" w:themeColor="text1"/>
          <w:lang w:eastAsia="es-CO"/>
        </w:rPr>
        <w:t>Cordialmente,</w:t>
      </w:r>
    </w:p>
    <w:p w14:paraId="74663783" w14:textId="77777777" w:rsidR="00F12F32" w:rsidRPr="004370DC" w:rsidRDefault="00F12F32" w:rsidP="00F12F32">
      <w:pPr>
        <w:jc w:val="both"/>
        <w:rPr>
          <w:rStyle w:val="A3"/>
          <w:rFonts w:ascii="Century Gothic" w:hAnsi="Century Gothic" w:cs="Arial"/>
          <w:color w:val="000000" w:themeColor="text1"/>
          <w:sz w:val="22"/>
          <w:szCs w:val="22"/>
        </w:rPr>
      </w:pPr>
    </w:p>
    <w:p w14:paraId="106C9F1E" w14:textId="77777777" w:rsidR="00F12F32" w:rsidRPr="004370DC" w:rsidRDefault="00F12F32" w:rsidP="00F12F32">
      <w:pPr>
        <w:jc w:val="both"/>
        <w:rPr>
          <w:rStyle w:val="A3"/>
          <w:rFonts w:ascii="Century Gothic" w:hAnsi="Century Gothic" w:cs="Arial"/>
          <w:color w:val="000000" w:themeColor="text1"/>
          <w:sz w:val="22"/>
          <w:szCs w:val="22"/>
        </w:rPr>
      </w:pPr>
    </w:p>
    <w:p w14:paraId="3221058F" w14:textId="77777777" w:rsidR="00F12F32" w:rsidRDefault="00F12F32" w:rsidP="00F12F32"/>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F12F32" w:rsidRPr="008B5447" w14:paraId="408FFA21" w14:textId="77777777" w:rsidTr="00E10183">
        <w:trPr>
          <w:trHeight w:val="1385"/>
        </w:trPr>
        <w:tc>
          <w:tcPr>
            <w:tcW w:w="4535" w:type="dxa"/>
          </w:tcPr>
          <w:p w14:paraId="37DF199D" w14:textId="77777777" w:rsidR="00F12F32" w:rsidRDefault="00F12F32" w:rsidP="00E10183">
            <w:pPr>
              <w:rPr>
                <w:rFonts w:ascii="Century Gothic" w:hAnsi="Century Gothic" w:cs="Arial"/>
                <w:b/>
              </w:rPr>
            </w:pPr>
          </w:p>
          <w:p w14:paraId="04E66DA3" w14:textId="77777777" w:rsidR="00F12F32" w:rsidRPr="008B5447" w:rsidRDefault="00F12F32" w:rsidP="00E10183">
            <w:pPr>
              <w:rPr>
                <w:rFonts w:ascii="Century Gothic" w:hAnsi="Century Gothic" w:cs="Arial"/>
                <w:b/>
              </w:rPr>
            </w:pPr>
          </w:p>
          <w:p w14:paraId="1708B247" w14:textId="77777777" w:rsidR="00F12F32" w:rsidRPr="008B5447" w:rsidRDefault="00F12F32" w:rsidP="00E10183">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43ABF9C7" w14:textId="77777777" w:rsidR="00F12F32" w:rsidRDefault="00F12F32" w:rsidP="00E10183">
            <w:pPr>
              <w:jc w:val="center"/>
              <w:rPr>
                <w:rFonts w:ascii="Century Gothic" w:hAnsi="Century Gothic" w:cs="Arial"/>
                <w:b/>
              </w:rPr>
            </w:pPr>
            <w:r>
              <w:rPr>
                <w:rFonts w:ascii="Century Gothic" w:hAnsi="Century Gothic" w:cs="Arial"/>
                <w:b/>
              </w:rPr>
              <w:t>GABRIEL JAIME VALLEJO CHUJFI</w:t>
            </w:r>
            <w:r w:rsidRPr="008B5447">
              <w:rPr>
                <w:rFonts w:ascii="Century Gothic" w:hAnsi="Century Gothic" w:cs="Arial"/>
                <w:b/>
              </w:rPr>
              <w:t xml:space="preserve"> </w:t>
            </w:r>
          </w:p>
          <w:p w14:paraId="379A12AC" w14:textId="58D106D4" w:rsidR="00F12F32" w:rsidRPr="004370DC" w:rsidRDefault="00F12F32" w:rsidP="00F12F32">
            <w:pPr>
              <w:jc w:val="center"/>
              <w:rPr>
                <w:rFonts w:ascii="Century Gothic" w:hAnsi="Century Gothic" w:cs="Arial"/>
                <w:bCs/>
              </w:rPr>
            </w:pPr>
            <w:r>
              <w:rPr>
                <w:rFonts w:ascii="Century Gothic" w:hAnsi="Century Gothic" w:cs="Arial"/>
                <w:bCs/>
              </w:rPr>
              <w:t xml:space="preserve">Ponente </w:t>
            </w:r>
          </w:p>
        </w:tc>
        <w:tc>
          <w:tcPr>
            <w:tcW w:w="4535" w:type="dxa"/>
          </w:tcPr>
          <w:p w14:paraId="2CCB1FFC" w14:textId="77777777" w:rsidR="00F12F32" w:rsidRDefault="00F12F32" w:rsidP="00E10183">
            <w:pPr>
              <w:rPr>
                <w:rFonts w:ascii="Century Gothic" w:hAnsi="Century Gothic" w:cs="Arial"/>
                <w:bCs/>
                <w:color w:val="000000"/>
                <w:bdr w:val="none" w:sz="0" w:space="0" w:color="auto" w:frame="1"/>
                <w:shd w:val="clear" w:color="auto" w:fill="FFFFFF"/>
              </w:rPr>
            </w:pPr>
          </w:p>
          <w:p w14:paraId="0796D5AD" w14:textId="77777777" w:rsidR="00F12F32" w:rsidRPr="00BE754E" w:rsidRDefault="00F12F32" w:rsidP="00E10183">
            <w:pPr>
              <w:jc w:val="center"/>
              <w:rPr>
                <w:rFonts w:ascii="Century Gothic" w:hAnsi="Century Gothic" w:cs="Arial"/>
                <w:bCs/>
                <w:color w:val="000000"/>
                <w:bdr w:val="none" w:sz="0" w:space="0" w:color="auto" w:frame="1"/>
                <w:shd w:val="clear" w:color="auto" w:fill="FFFFFF"/>
              </w:rPr>
            </w:pPr>
          </w:p>
        </w:tc>
      </w:tr>
    </w:tbl>
    <w:p w14:paraId="7A219D58" w14:textId="6C0CA137" w:rsidR="0041410F" w:rsidRPr="00CD7B09" w:rsidRDefault="0041410F" w:rsidP="00F12F32">
      <w:pPr>
        <w:rPr>
          <w:rFonts w:ascii="Century Gothic" w:hAnsi="Century Gothic"/>
          <w:b/>
          <w:sz w:val="22"/>
          <w:szCs w:val="22"/>
        </w:rPr>
      </w:pPr>
    </w:p>
    <w:sectPr w:rsidR="0041410F" w:rsidRPr="00CD7B09" w:rsidSect="0028155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E8AE" w14:textId="77777777" w:rsidR="006C5040" w:rsidRDefault="006C5040" w:rsidP="00A6736C">
      <w:r>
        <w:separator/>
      </w:r>
    </w:p>
  </w:endnote>
  <w:endnote w:type="continuationSeparator" w:id="0">
    <w:p w14:paraId="16657EAC" w14:textId="77777777" w:rsidR="006C5040" w:rsidRDefault="006C5040" w:rsidP="00A6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3ED1F" w14:textId="77777777" w:rsidR="006C5040" w:rsidRDefault="006C5040" w:rsidP="00A6736C">
      <w:r>
        <w:separator/>
      </w:r>
    </w:p>
  </w:footnote>
  <w:footnote w:type="continuationSeparator" w:id="0">
    <w:p w14:paraId="49A5AEF9" w14:textId="77777777" w:rsidR="006C5040" w:rsidRDefault="006C5040" w:rsidP="00A6736C">
      <w:r>
        <w:continuationSeparator/>
      </w:r>
    </w:p>
  </w:footnote>
  <w:footnote w:id="1">
    <w:p w14:paraId="44E3947A" w14:textId="1226C329" w:rsidR="00E20892" w:rsidRPr="00B42E60" w:rsidRDefault="00E20892" w:rsidP="00B04545">
      <w:pPr>
        <w:rPr>
          <w:rFonts w:ascii="Century Gothic" w:eastAsia="Arial" w:hAnsi="Century Gothic" w:cs="Arial"/>
          <w:sz w:val="20"/>
          <w:szCs w:val="20"/>
        </w:rPr>
      </w:pPr>
      <w:r w:rsidRPr="00B42E60">
        <w:rPr>
          <w:rStyle w:val="Refdenotaalpie"/>
          <w:rFonts w:ascii="Century Gothic" w:hAnsi="Century Gothic"/>
          <w:sz w:val="20"/>
          <w:szCs w:val="20"/>
        </w:rPr>
        <w:footnoteRef/>
      </w:r>
      <w:r w:rsidRPr="00B42E60">
        <w:rPr>
          <w:rFonts w:ascii="Century Gothic" w:hAnsi="Century Gothic"/>
          <w:sz w:val="20"/>
          <w:szCs w:val="20"/>
        </w:rPr>
        <w:t xml:space="preserve"> Elaboraci</w:t>
      </w:r>
      <w:r w:rsidRPr="00B42E60">
        <w:rPr>
          <w:rFonts w:ascii="Century Gothic" w:eastAsia="Helvetica" w:hAnsi="Century Gothic" w:cs="Helvetica"/>
          <w:sz w:val="20"/>
          <w:szCs w:val="20"/>
        </w:rPr>
        <w:t>ón propia a partir del Derecho de Petición Ministerio de Justicia y de</w:t>
      </w:r>
      <w:r w:rsidRPr="00B42E60">
        <w:rPr>
          <w:rFonts w:ascii="Century Gothic" w:hAnsi="Century Gothic"/>
          <w:sz w:val="20"/>
          <w:szCs w:val="20"/>
        </w:rPr>
        <w:t>l Derecho. Radicado No. MJD-OFI20-0005752-VPJ-2000. 21 de febrero de 20</w:t>
      </w:r>
      <w:r w:rsidRPr="00B42E60">
        <w:rPr>
          <w:rFonts w:ascii="Century Gothic" w:eastAsia="Arial" w:hAnsi="Century Gothic" w:cs="Arial"/>
          <w:sz w:val="20"/>
          <w:szCs w:val="20"/>
        </w:rPr>
        <w:t>20.</w:t>
      </w:r>
    </w:p>
  </w:footnote>
  <w:footnote w:id="2">
    <w:p w14:paraId="11470CA0" w14:textId="7193118B" w:rsidR="00E20892" w:rsidRPr="00B42E60" w:rsidRDefault="00E20892">
      <w:pPr>
        <w:pStyle w:val="Textonotapie"/>
        <w:rPr>
          <w:rFonts w:ascii="Century Gothic" w:hAnsi="Century Gothic"/>
          <w:sz w:val="20"/>
          <w:szCs w:val="20"/>
          <w:lang w:val="es-ES"/>
        </w:rPr>
      </w:pPr>
      <w:r w:rsidRPr="00B42E60">
        <w:rPr>
          <w:rStyle w:val="Refdenotaalpie"/>
          <w:rFonts w:ascii="Century Gothic" w:hAnsi="Century Gothic"/>
          <w:sz w:val="20"/>
          <w:szCs w:val="20"/>
        </w:rPr>
        <w:footnoteRef/>
      </w:r>
      <w:r w:rsidRPr="00B42E60">
        <w:rPr>
          <w:rFonts w:ascii="Century Gothic" w:hAnsi="Century Gothic"/>
          <w:sz w:val="20"/>
          <w:szCs w:val="20"/>
        </w:rPr>
        <w:t xml:space="preserve"> Elaboraci</w:t>
      </w:r>
      <w:r w:rsidRPr="00B42E60">
        <w:rPr>
          <w:rFonts w:ascii="Century Gothic" w:eastAsia="Helvetica" w:hAnsi="Century Gothic" w:cs="Helvetica"/>
          <w:sz w:val="20"/>
          <w:szCs w:val="20"/>
        </w:rPr>
        <w:t>ón propia a partir del Derecho de Petición Ministerio de Justicia y del Derecho. Radicado No. MJD-OFI20-0005752-VPJ-2000. 21 de febrero de 2020</w:t>
      </w:r>
      <w:r w:rsidRPr="00B42E60">
        <w:rPr>
          <w:rFonts w:ascii="Century Gothic" w:eastAsia="Arial" w:hAnsi="Century Gothic" w:cs="Arial"/>
          <w:sz w:val="20"/>
          <w:szCs w:val="20"/>
        </w:rPr>
        <w:t>.</w:t>
      </w:r>
    </w:p>
  </w:footnote>
  <w:footnote w:id="3">
    <w:p w14:paraId="38B67231" w14:textId="77777777" w:rsidR="00E20892" w:rsidRPr="00B42E60" w:rsidRDefault="00E20892" w:rsidP="00B04545">
      <w:pPr>
        <w:rPr>
          <w:rFonts w:ascii="Century Gothic" w:hAnsi="Century Gothic"/>
          <w:sz w:val="20"/>
          <w:szCs w:val="20"/>
        </w:rPr>
      </w:pPr>
      <w:r w:rsidRPr="00B42E60">
        <w:rPr>
          <w:rFonts w:ascii="Century Gothic" w:hAnsi="Century Gothic"/>
          <w:sz w:val="20"/>
          <w:szCs w:val="20"/>
          <w:vertAlign w:val="superscript"/>
        </w:rPr>
        <w:footnoteRef/>
      </w:r>
      <w:r w:rsidRPr="00B42E60">
        <w:rPr>
          <w:rFonts w:ascii="Century Gothic" w:hAnsi="Century Gothic"/>
          <w:sz w:val="20"/>
          <w:szCs w:val="20"/>
        </w:rPr>
        <w:t xml:space="preserve"> Elaboración propia a partir del Derecho de Petición Ministerio de Justicia y del Derecho. Radicado No. MJD-OFI20-0005752-VPJ-2000. 21 de febrero de 2020.</w:t>
      </w:r>
    </w:p>
  </w:footnote>
  <w:footnote w:id="4">
    <w:p w14:paraId="68873AE3" w14:textId="77777777" w:rsidR="00E20892" w:rsidRPr="00B42E60" w:rsidRDefault="00E20892" w:rsidP="00E61C26">
      <w:pPr>
        <w:rPr>
          <w:rFonts w:ascii="Century Gothic" w:hAnsi="Century Gothic"/>
          <w:sz w:val="20"/>
          <w:szCs w:val="20"/>
        </w:rPr>
      </w:pPr>
      <w:r w:rsidRPr="00B42E60">
        <w:rPr>
          <w:rFonts w:ascii="Century Gothic" w:hAnsi="Century Gothic"/>
          <w:sz w:val="20"/>
          <w:szCs w:val="20"/>
          <w:vertAlign w:val="superscript"/>
        </w:rPr>
        <w:footnoteRef/>
      </w:r>
      <w:r w:rsidRPr="00B42E60">
        <w:rPr>
          <w:rFonts w:ascii="Century Gothic" w:hAnsi="Century Gothic"/>
          <w:sz w:val="20"/>
          <w:szCs w:val="20"/>
        </w:rPr>
        <w:t xml:space="preserve"> DANE, 2020. </w:t>
      </w:r>
      <w:hyperlink r:id="rId1">
        <w:r w:rsidRPr="00B42E60">
          <w:rPr>
            <w:rFonts w:ascii="Century Gothic" w:hAnsi="Century Gothic"/>
            <w:sz w:val="20"/>
            <w:szCs w:val="20"/>
          </w:rPr>
          <w:t>Encuesta de Convivencia y Seguridad Ciudadana (ECSC)</w:t>
        </w:r>
      </w:hyperlink>
      <w:r w:rsidRPr="00B42E60">
        <w:rPr>
          <w:rFonts w:ascii="Century Gothic" w:hAnsi="Century Gothic"/>
          <w:sz w:val="20"/>
          <w:szCs w:val="20"/>
        </w:rPr>
        <w:t>. Información 2020 con periodo de referencia 2019.</w:t>
      </w:r>
    </w:p>
  </w:footnote>
  <w:footnote w:id="5">
    <w:p w14:paraId="58E2E716" w14:textId="73596FAD" w:rsidR="008E2CE0" w:rsidRDefault="008E2CE0">
      <w:pPr>
        <w:pStyle w:val="Textonotapie"/>
      </w:pPr>
      <w:r>
        <w:rPr>
          <w:rStyle w:val="Refdenotaalpie"/>
        </w:rPr>
        <w:footnoteRef/>
      </w:r>
      <w:r>
        <w:t xml:space="preserve"> En la ponencia positiva para segundo debate es el art. 17.</w:t>
      </w:r>
    </w:p>
  </w:footnote>
  <w:footnote w:id="6">
    <w:p w14:paraId="21425CDB" w14:textId="059D70AE" w:rsidR="008E2CE0" w:rsidRDefault="008E2CE0">
      <w:pPr>
        <w:pStyle w:val="Textonotapie"/>
      </w:pPr>
      <w:r>
        <w:rPr>
          <w:rStyle w:val="Refdenotaalpie"/>
        </w:rPr>
        <w:footnoteRef/>
      </w:r>
      <w:r>
        <w:t xml:space="preserve"> Artículo 18 en la ponencia positiva para segundo debate. </w:t>
      </w:r>
    </w:p>
    <w:p w14:paraId="03664623" w14:textId="77777777" w:rsidR="008E2CE0" w:rsidRDefault="008E2CE0">
      <w:pPr>
        <w:pStyle w:val="Textonotapie"/>
      </w:pPr>
    </w:p>
  </w:footnote>
  <w:footnote w:id="7">
    <w:p w14:paraId="59F1227D" w14:textId="41F73BD0" w:rsidR="00BE1614" w:rsidRDefault="00BE1614">
      <w:pPr>
        <w:pStyle w:val="Textonotapie"/>
      </w:pPr>
      <w:r>
        <w:rPr>
          <w:rStyle w:val="Refdenotaalpie"/>
        </w:rPr>
        <w:footnoteRef/>
      </w:r>
      <w:r>
        <w:t xml:space="preserve"> Artículo 12 en la ponencia positiva para segundo debate. </w:t>
      </w:r>
    </w:p>
  </w:footnote>
  <w:footnote w:id="8">
    <w:p w14:paraId="22A33369" w14:textId="77777777" w:rsidR="00E20892" w:rsidRPr="00B42E60" w:rsidRDefault="00E20892" w:rsidP="00A6736C">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olor w:val="000000"/>
          <w:sz w:val="20"/>
          <w:szCs w:val="20"/>
        </w:rPr>
      </w:pPr>
      <w:r w:rsidRPr="00B42E60">
        <w:rPr>
          <w:rFonts w:ascii="Century Gothic" w:hAnsi="Century Gothic"/>
          <w:sz w:val="20"/>
          <w:szCs w:val="20"/>
          <w:vertAlign w:val="superscript"/>
        </w:rPr>
        <w:footnoteRef/>
      </w:r>
      <w:r w:rsidRPr="00B42E60">
        <w:rPr>
          <w:rFonts w:ascii="Century Gothic" w:hAnsi="Century Gothic"/>
          <w:color w:val="000000"/>
          <w:sz w:val="20"/>
          <w:szCs w:val="20"/>
        </w:rPr>
        <w:t xml:space="preserve"> Consejo de Estado, Sala de lo Contencioso Administrativo, sentencia de 10 de noviembre de 2009, radicación número: PI. 01180-00 (C. P. Martha Teresa Briceño de Valencia).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B8357" w14:textId="092BBBC7" w:rsidR="00E20892" w:rsidRDefault="00E20892">
    <w:pPr>
      <w:pStyle w:val="Encabezado"/>
    </w:pPr>
    <w:r>
      <w:t xml:space="preserve">                                                     </w:t>
    </w:r>
    <w:r>
      <w:rPr>
        <w:noProof/>
        <w:lang w:val="es-419" w:eastAsia="es-419"/>
      </w:rPr>
      <w:drawing>
        <wp:inline distT="0" distB="0" distL="0" distR="0" wp14:anchorId="7A3B8D22" wp14:editId="59A2439E">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839192B"/>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3" w15:restartNumberingAfterBreak="0">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 w15:restartNumberingAfterBreak="0">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5"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7566E5"/>
    <w:multiLevelType w:val="hybridMultilevel"/>
    <w:tmpl w:val="558EB852"/>
    <w:lvl w:ilvl="0" w:tplc="04D26796">
      <w:start w:val="6"/>
      <w:numFmt w:val="bullet"/>
      <w:lvlText w:val="-"/>
      <w:lvlJc w:val="left"/>
      <w:pPr>
        <w:ind w:left="720" w:hanging="360"/>
      </w:pPr>
      <w:rPr>
        <w:rFonts w:ascii="Helvetica" w:eastAsia="Helvetica" w:hAnsi="Helvetica" w:cs="Helvetica"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2FA30F8"/>
    <w:multiLevelType w:val="hybridMultilevel"/>
    <w:tmpl w:val="A028C1F8"/>
    <w:lvl w:ilvl="0" w:tplc="04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19" w15:restartNumberingAfterBreak="0">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2"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2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8DB231E"/>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8"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0" w15:restartNumberingAfterBreak="0">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1"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38" w15:restartNumberingAfterBreak="0">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39"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37224544"/>
    <w:multiLevelType w:val="hybridMultilevel"/>
    <w:tmpl w:val="898C5A40"/>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39DF6197"/>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4" w15:restartNumberingAfterBreak="0">
    <w:nsid w:val="3A8C5B6F"/>
    <w:multiLevelType w:val="multilevel"/>
    <w:tmpl w:val="101C45AA"/>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5" w15:restartNumberingAfterBreak="0">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4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49" w15:restartNumberingAfterBreak="0">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1" w15:restartNumberingAfterBreak="0">
    <w:nsid w:val="4835529F"/>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2" w15:restartNumberingAfterBreak="0">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53"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55"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6"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C6734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0"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15:restartNumberingAfterBreak="0">
    <w:nsid w:val="5F9E712A"/>
    <w:multiLevelType w:val="hybridMultilevel"/>
    <w:tmpl w:val="47B8F2CA"/>
    <w:lvl w:ilvl="0" w:tplc="1F58C176">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3"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15:restartNumberingAfterBreak="0">
    <w:nsid w:val="6B3F2F3A"/>
    <w:multiLevelType w:val="hybridMultilevel"/>
    <w:tmpl w:val="E320F7C2"/>
    <w:lvl w:ilvl="0" w:tplc="5AB2D146">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7"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0"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1"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3"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15:restartNumberingAfterBreak="0">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76" w15:restartNumberingAfterBreak="0">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7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9" w15:restartNumberingAfterBreak="0">
    <w:nsid w:val="7CF10872"/>
    <w:multiLevelType w:val="multilevel"/>
    <w:tmpl w:val="CA7EEBE6"/>
    <w:lvl w:ilvl="0">
      <w:start w:val="1"/>
      <w:numFmt w:val="decimal"/>
      <w:lvlText w:val="%1."/>
      <w:lvlJc w:val="left"/>
      <w:pPr>
        <w:ind w:left="1288" w:hanging="359"/>
      </w:pPr>
      <w:rPr>
        <w:rFonts w:ascii="Century Gothic" w:eastAsia="Garamond" w:hAnsi="Century Gothic" w:cs="Garamond"/>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0" w15:restartNumberingAfterBreak="0">
    <w:nsid w:val="7DD36CE2"/>
    <w:multiLevelType w:val="multilevel"/>
    <w:tmpl w:val="BF3008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2" w15:restartNumberingAfterBreak="0">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3"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80"/>
  </w:num>
  <w:num w:numId="2">
    <w:abstractNumId w:val="29"/>
  </w:num>
  <w:num w:numId="3">
    <w:abstractNumId w:val="4"/>
  </w:num>
  <w:num w:numId="4">
    <w:abstractNumId w:val="76"/>
  </w:num>
  <w:num w:numId="5">
    <w:abstractNumId w:val="75"/>
  </w:num>
  <w:num w:numId="6">
    <w:abstractNumId w:val="36"/>
  </w:num>
  <w:num w:numId="7">
    <w:abstractNumId w:val="54"/>
  </w:num>
  <w:num w:numId="8">
    <w:abstractNumId w:val="7"/>
  </w:num>
  <w:num w:numId="9">
    <w:abstractNumId w:val="25"/>
  </w:num>
  <w:num w:numId="10">
    <w:abstractNumId w:val="49"/>
  </w:num>
  <w:num w:numId="11">
    <w:abstractNumId w:val="37"/>
  </w:num>
  <w:num w:numId="12">
    <w:abstractNumId w:val="44"/>
  </w:num>
  <w:num w:numId="13">
    <w:abstractNumId w:val="82"/>
  </w:num>
  <w:num w:numId="14">
    <w:abstractNumId w:val="21"/>
  </w:num>
  <w:num w:numId="15">
    <w:abstractNumId w:val="30"/>
  </w:num>
  <w:num w:numId="16">
    <w:abstractNumId w:val="3"/>
  </w:num>
  <w:num w:numId="17">
    <w:abstractNumId w:val="18"/>
  </w:num>
  <w:num w:numId="18">
    <w:abstractNumId w:val="48"/>
  </w:num>
  <w:num w:numId="19">
    <w:abstractNumId w:val="52"/>
  </w:num>
  <w:num w:numId="20">
    <w:abstractNumId w:val="19"/>
  </w:num>
  <w:num w:numId="21">
    <w:abstractNumId w:val="38"/>
  </w:num>
  <w:num w:numId="22">
    <w:abstractNumId w:val="45"/>
  </w:num>
  <w:num w:numId="23">
    <w:abstractNumId w:val="6"/>
  </w:num>
  <w:num w:numId="24">
    <w:abstractNumId w:val="11"/>
  </w:num>
  <w:num w:numId="25">
    <w:abstractNumId w:val="2"/>
  </w:num>
  <w:num w:numId="26">
    <w:abstractNumId w:val="59"/>
  </w:num>
  <w:num w:numId="27">
    <w:abstractNumId w:val="56"/>
  </w:num>
  <w:num w:numId="28">
    <w:abstractNumId w:val="50"/>
  </w:num>
  <w:num w:numId="29">
    <w:abstractNumId w:val="55"/>
  </w:num>
  <w:num w:numId="30">
    <w:abstractNumId w:val="33"/>
  </w:num>
  <w:num w:numId="31">
    <w:abstractNumId w:val="46"/>
  </w:num>
  <w:num w:numId="32">
    <w:abstractNumId w:val="60"/>
  </w:num>
  <w:num w:numId="33">
    <w:abstractNumId w:val="74"/>
  </w:num>
  <w:num w:numId="34">
    <w:abstractNumId w:val="10"/>
  </w:num>
  <w:num w:numId="35">
    <w:abstractNumId w:val="13"/>
  </w:num>
  <w:num w:numId="36">
    <w:abstractNumId w:val="57"/>
  </w:num>
  <w:num w:numId="37">
    <w:abstractNumId w:val="63"/>
  </w:num>
  <w:num w:numId="38">
    <w:abstractNumId w:val="65"/>
  </w:num>
  <w:num w:numId="39">
    <w:abstractNumId w:val="61"/>
  </w:num>
  <w:num w:numId="40">
    <w:abstractNumId w:val="71"/>
  </w:num>
  <w:num w:numId="41">
    <w:abstractNumId w:val="58"/>
  </w:num>
  <w:num w:numId="42">
    <w:abstractNumId w:val="16"/>
  </w:num>
  <w:num w:numId="43">
    <w:abstractNumId w:val="12"/>
  </w:num>
  <w:num w:numId="44">
    <w:abstractNumId w:val="23"/>
  </w:num>
  <w:num w:numId="45">
    <w:abstractNumId w:val="24"/>
  </w:num>
  <w:num w:numId="46">
    <w:abstractNumId w:val="72"/>
  </w:num>
  <w:num w:numId="47">
    <w:abstractNumId w:val="41"/>
  </w:num>
  <w:num w:numId="48">
    <w:abstractNumId w:val="77"/>
  </w:num>
  <w:num w:numId="49">
    <w:abstractNumId w:val="32"/>
  </w:num>
  <w:num w:numId="50">
    <w:abstractNumId w:val="9"/>
  </w:num>
  <w:num w:numId="51">
    <w:abstractNumId w:val="5"/>
  </w:num>
  <w:num w:numId="52">
    <w:abstractNumId w:val="31"/>
  </w:num>
  <w:num w:numId="53">
    <w:abstractNumId w:val="68"/>
  </w:num>
  <w:num w:numId="54">
    <w:abstractNumId w:val="26"/>
  </w:num>
  <w:num w:numId="55">
    <w:abstractNumId w:val="81"/>
  </w:num>
  <w:num w:numId="56">
    <w:abstractNumId w:val="78"/>
  </w:num>
  <w:num w:numId="57">
    <w:abstractNumId w:val="42"/>
  </w:num>
  <w:num w:numId="58">
    <w:abstractNumId w:val="67"/>
  </w:num>
  <w:num w:numId="59">
    <w:abstractNumId w:val="17"/>
  </w:num>
  <w:num w:numId="60">
    <w:abstractNumId w:val="20"/>
  </w:num>
  <w:num w:numId="61">
    <w:abstractNumId w:val="69"/>
  </w:num>
  <w:num w:numId="62">
    <w:abstractNumId w:val="70"/>
  </w:num>
  <w:num w:numId="63">
    <w:abstractNumId w:val="83"/>
  </w:num>
  <w:num w:numId="64">
    <w:abstractNumId w:val="22"/>
  </w:num>
  <w:num w:numId="65">
    <w:abstractNumId w:val="34"/>
  </w:num>
  <w:num w:numId="66">
    <w:abstractNumId w:val="39"/>
  </w:num>
  <w:num w:numId="67">
    <w:abstractNumId w:val="47"/>
  </w:num>
  <w:num w:numId="68">
    <w:abstractNumId w:val="64"/>
  </w:num>
  <w:num w:numId="69">
    <w:abstractNumId w:val="53"/>
  </w:num>
  <w:num w:numId="70">
    <w:abstractNumId w:val="28"/>
  </w:num>
  <w:num w:numId="71">
    <w:abstractNumId w:val="35"/>
  </w:num>
  <w:num w:numId="72">
    <w:abstractNumId w:val="73"/>
  </w:num>
  <w:num w:numId="73">
    <w:abstractNumId w:val="15"/>
  </w:num>
  <w:num w:numId="74">
    <w:abstractNumId w:val="0"/>
  </w:num>
  <w:num w:numId="75">
    <w:abstractNumId w:val="8"/>
  </w:num>
  <w:num w:numId="76">
    <w:abstractNumId w:val="1"/>
  </w:num>
  <w:num w:numId="77">
    <w:abstractNumId w:val="14"/>
  </w:num>
  <w:num w:numId="78">
    <w:abstractNumId w:val="79"/>
  </w:num>
  <w:num w:numId="79">
    <w:abstractNumId w:val="51"/>
  </w:num>
  <w:num w:numId="80">
    <w:abstractNumId w:val="27"/>
  </w:num>
  <w:num w:numId="81">
    <w:abstractNumId w:val="43"/>
  </w:num>
  <w:num w:numId="82">
    <w:abstractNumId w:val="40"/>
  </w:num>
  <w:num w:numId="83">
    <w:abstractNumId w:val="66"/>
  </w:num>
  <w:num w:numId="84">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9E"/>
    <w:rsid w:val="00053181"/>
    <w:rsid w:val="00096249"/>
    <w:rsid w:val="000C78B1"/>
    <w:rsid w:val="000E2E69"/>
    <w:rsid w:val="001263EB"/>
    <w:rsid w:val="00197309"/>
    <w:rsid w:val="001D1B91"/>
    <w:rsid w:val="00211F0D"/>
    <w:rsid w:val="00256EE4"/>
    <w:rsid w:val="00270571"/>
    <w:rsid w:val="002734B4"/>
    <w:rsid w:val="0028155B"/>
    <w:rsid w:val="002F5969"/>
    <w:rsid w:val="00366170"/>
    <w:rsid w:val="003756B1"/>
    <w:rsid w:val="0041410F"/>
    <w:rsid w:val="004274E4"/>
    <w:rsid w:val="00455DE4"/>
    <w:rsid w:val="00470A45"/>
    <w:rsid w:val="0050290F"/>
    <w:rsid w:val="00544E6E"/>
    <w:rsid w:val="00567FF2"/>
    <w:rsid w:val="00587516"/>
    <w:rsid w:val="00592633"/>
    <w:rsid w:val="005B4C1C"/>
    <w:rsid w:val="005D4CEB"/>
    <w:rsid w:val="00622388"/>
    <w:rsid w:val="00642474"/>
    <w:rsid w:val="006800D0"/>
    <w:rsid w:val="006865EF"/>
    <w:rsid w:val="006C5040"/>
    <w:rsid w:val="007A4103"/>
    <w:rsid w:val="007C02C8"/>
    <w:rsid w:val="00806199"/>
    <w:rsid w:val="00862838"/>
    <w:rsid w:val="008941CF"/>
    <w:rsid w:val="008955C9"/>
    <w:rsid w:val="008E2CE0"/>
    <w:rsid w:val="00A300E3"/>
    <w:rsid w:val="00A4745B"/>
    <w:rsid w:val="00A6080F"/>
    <w:rsid w:val="00A6736C"/>
    <w:rsid w:val="00AC6E97"/>
    <w:rsid w:val="00AF2BA7"/>
    <w:rsid w:val="00B04545"/>
    <w:rsid w:val="00B42E60"/>
    <w:rsid w:val="00B8709E"/>
    <w:rsid w:val="00BA77EF"/>
    <w:rsid w:val="00BE1614"/>
    <w:rsid w:val="00C429C3"/>
    <w:rsid w:val="00CB1679"/>
    <w:rsid w:val="00CB7C86"/>
    <w:rsid w:val="00CD7B09"/>
    <w:rsid w:val="00D81420"/>
    <w:rsid w:val="00DA0863"/>
    <w:rsid w:val="00DB0CB3"/>
    <w:rsid w:val="00E20892"/>
    <w:rsid w:val="00E21D06"/>
    <w:rsid w:val="00E61AAD"/>
    <w:rsid w:val="00E61C26"/>
    <w:rsid w:val="00E65A50"/>
    <w:rsid w:val="00E85348"/>
    <w:rsid w:val="00EC38F4"/>
    <w:rsid w:val="00EC406C"/>
    <w:rsid w:val="00F12F32"/>
    <w:rsid w:val="00F911DD"/>
    <w:rsid w:val="00FD7B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AC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CE0"/>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E8534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E85348"/>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E85348"/>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85348"/>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E85348"/>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E8534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0"/>
    <w:qFormat/>
    <w:rsid w:val="00B8709E"/>
    <w:rPr>
      <w:rFonts w:ascii="Times New Roman" w:eastAsia="Times New Roman" w:hAnsi="Times New Roman" w:cs="Times New Roman"/>
      <w:lang w:eastAsia="es-ES_tradnl"/>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B04545"/>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B04545"/>
    <w:rPr>
      <w:rFonts w:ascii="Times New Roman" w:eastAsia="Times New Roman" w:hAnsi="Times New Roman" w:cs="Times New Roman"/>
      <w:lang w:eastAsia="es-MX"/>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B04545"/>
    <w:rPr>
      <w:vertAlign w:val="superscript"/>
    </w:rPr>
  </w:style>
  <w:style w:type="character" w:customStyle="1" w:styleId="Ttulo1Car">
    <w:name w:val="Título 1 Car"/>
    <w:basedOn w:val="Fuentedeprrafopredeter"/>
    <w:link w:val="Ttulo1"/>
    <w:uiPriority w:val="9"/>
    <w:rsid w:val="00E85348"/>
    <w:rPr>
      <w:rFonts w:ascii="Times New Roman" w:eastAsia="Times New Roman" w:hAnsi="Times New Roman" w:cs="Times New Roman"/>
      <w:b/>
      <w:sz w:val="48"/>
      <w:szCs w:val="48"/>
      <w:lang w:eastAsia="es-MX"/>
    </w:rPr>
  </w:style>
  <w:style w:type="character" w:customStyle="1" w:styleId="Ttulo2Car">
    <w:name w:val="Título 2 Car"/>
    <w:basedOn w:val="Fuentedeprrafopredeter"/>
    <w:link w:val="Ttulo2"/>
    <w:uiPriority w:val="9"/>
    <w:semiHidden/>
    <w:rsid w:val="00E85348"/>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uiPriority w:val="9"/>
    <w:semiHidden/>
    <w:rsid w:val="00E85348"/>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semiHidden/>
    <w:rsid w:val="00E85348"/>
    <w:rPr>
      <w:rFonts w:ascii="Times New Roman" w:eastAsia="Times New Roman" w:hAnsi="Times New Roman" w:cs="Times New Roman"/>
      <w:b/>
      <w:lang w:eastAsia="es-MX"/>
    </w:rPr>
  </w:style>
  <w:style w:type="character" w:customStyle="1" w:styleId="Ttulo5Car">
    <w:name w:val="Título 5 Car"/>
    <w:basedOn w:val="Fuentedeprrafopredeter"/>
    <w:link w:val="Ttulo5"/>
    <w:uiPriority w:val="9"/>
    <w:semiHidden/>
    <w:rsid w:val="00E85348"/>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uiPriority w:val="9"/>
    <w:semiHidden/>
    <w:rsid w:val="00E85348"/>
    <w:rPr>
      <w:rFonts w:ascii="Times New Roman" w:eastAsia="Times New Roman" w:hAnsi="Times New Roman" w:cs="Times New Roman"/>
      <w:b/>
      <w:sz w:val="20"/>
      <w:szCs w:val="20"/>
      <w:lang w:eastAsia="es-MX"/>
    </w:rPr>
  </w:style>
  <w:style w:type="table" w:customStyle="1" w:styleId="TableNormal">
    <w:name w:val="Table Normal"/>
    <w:rsid w:val="00E85348"/>
    <w:rPr>
      <w:rFonts w:ascii="Times New Roman" w:eastAsia="Times New Roman" w:hAnsi="Times New Roman" w:cs="Times New Roman"/>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E85348"/>
    <w:pPr>
      <w:keepNext/>
      <w:keepLines/>
      <w:spacing w:before="480" w:after="120"/>
    </w:pPr>
    <w:rPr>
      <w:b/>
      <w:sz w:val="72"/>
      <w:szCs w:val="72"/>
    </w:rPr>
  </w:style>
  <w:style w:type="character" w:customStyle="1" w:styleId="TtuloCar">
    <w:name w:val="Título Car"/>
    <w:basedOn w:val="Fuentedeprrafopredeter"/>
    <w:link w:val="Ttulo"/>
    <w:uiPriority w:val="10"/>
    <w:rsid w:val="00E85348"/>
    <w:rPr>
      <w:rFonts w:ascii="Times New Roman" w:eastAsia="Times New Roman" w:hAnsi="Times New Roman" w:cs="Times New Roman"/>
      <w:b/>
      <w:sz w:val="72"/>
      <w:szCs w:val="72"/>
      <w:lang w:eastAsia="es-MX"/>
    </w:rPr>
  </w:style>
  <w:style w:type="paragraph" w:styleId="Subttulo">
    <w:name w:val="Subtitle"/>
    <w:basedOn w:val="Normal"/>
    <w:next w:val="Normal"/>
    <w:link w:val="SubttuloCar"/>
    <w:uiPriority w:val="11"/>
    <w:qFormat/>
    <w:rsid w:val="00E85348"/>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E85348"/>
    <w:rPr>
      <w:rFonts w:ascii="Georgia" w:eastAsia="Georgia" w:hAnsi="Georgia" w:cs="Georgia"/>
      <w:i/>
      <w:color w:val="666666"/>
      <w:sz w:val="48"/>
      <w:szCs w:val="48"/>
      <w:lang w:eastAsia="es-MX"/>
    </w:rPr>
  </w:style>
  <w:style w:type="character" w:styleId="Refdecomentario">
    <w:name w:val="annotation reference"/>
    <w:basedOn w:val="Fuentedeprrafopredeter"/>
    <w:uiPriority w:val="99"/>
    <w:semiHidden/>
    <w:unhideWhenUsed/>
    <w:rsid w:val="00470A45"/>
    <w:rPr>
      <w:sz w:val="18"/>
      <w:szCs w:val="18"/>
    </w:rPr>
  </w:style>
  <w:style w:type="paragraph" w:styleId="Textocomentario">
    <w:name w:val="annotation text"/>
    <w:basedOn w:val="Normal"/>
    <w:link w:val="TextocomentarioCar"/>
    <w:uiPriority w:val="99"/>
    <w:unhideWhenUsed/>
    <w:rsid w:val="00470A45"/>
  </w:style>
  <w:style w:type="character" w:customStyle="1" w:styleId="TextocomentarioCar">
    <w:name w:val="Texto comentario Car"/>
    <w:basedOn w:val="Fuentedeprrafopredeter"/>
    <w:link w:val="Textocomentario"/>
    <w:uiPriority w:val="99"/>
    <w:rsid w:val="00470A45"/>
    <w:rPr>
      <w:rFonts w:ascii="Times New Roman" w:eastAsia="Times New Roman" w:hAnsi="Times New Roman" w:cs="Times New Roman"/>
      <w:lang w:eastAsia="es-MX"/>
    </w:rPr>
  </w:style>
  <w:style w:type="paragraph" w:styleId="Asuntodelcomentario">
    <w:name w:val="annotation subject"/>
    <w:basedOn w:val="Textocomentario"/>
    <w:next w:val="Textocomentario"/>
    <w:link w:val="AsuntodelcomentarioCar"/>
    <w:uiPriority w:val="99"/>
    <w:semiHidden/>
    <w:unhideWhenUsed/>
    <w:rsid w:val="00470A45"/>
    <w:rPr>
      <w:b/>
      <w:bCs/>
      <w:sz w:val="20"/>
      <w:szCs w:val="20"/>
    </w:rPr>
  </w:style>
  <w:style w:type="character" w:customStyle="1" w:styleId="AsuntodelcomentarioCar">
    <w:name w:val="Asunto del comentario Car"/>
    <w:basedOn w:val="TextocomentarioCar"/>
    <w:link w:val="Asuntodelcomentario"/>
    <w:uiPriority w:val="99"/>
    <w:semiHidden/>
    <w:rsid w:val="00470A45"/>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470A45"/>
    <w:rPr>
      <w:sz w:val="18"/>
      <w:szCs w:val="18"/>
    </w:rPr>
  </w:style>
  <w:style w:type="character" w:customStyle="1" w:styleId="TextodegloboCar">
    <w:name w:val="Texto de globo Car"/>
    <w:basedOn w:val="Fuentedeprrafopredeter"/>
    <w:link w:val="Textodeglobo"/>
    <w:uiPriority w:val="99"/>
    <w:semiHidden/>
    <w:rsid w:val="00470A45"/>
    <w:rPr>
      <w:rFonts w:ascii="Times New Roman" w:eastAsia="Times New Roman" w:hAnsi="Times New Roman" w:cs="Times New Roman"/>
      <w:sz w:val="18"/>
      <w:szCs w:val="18"/>
      <w:lang w:eastAsia="es-MX"/>
    </w:rPr>
  </w:style>
  <w:style w:type="paragraph" w:styleId="Encabezado">
    <w:name w:val="header"/>
    <w:basedOn w:val="Normal"/>
    <w:link w:val="EncabezadoCar"/>
    <w:uiPriority w:val="99"/>
    <w:unhideWhenUsed/>
    <w:rsid w:val="00544E6E"/>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44E6E"/>
    <w:rPr>
      <w:sz w:val="22"/>
      <w:szCs w:val="22"/>
      <w:lang w:val="es-ES"/>
    </w:rPr>
  </w:style>
  <w:style w:type="table" w:styleId="Tablaconcuadrcula">
    <w:name w:val="Table Grid"/>
    <w:basedOn w:val="Tablanormal"/>
    <w:uiPriority w:val="39"/>
    <w:rsid w:val="0054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34"/>
    <w:qFormat/>
    <w:rsid w:val="00B42E60"/>
    <w:pPr>
      <w:spacing w:line="276" w:lineRule="auto"/>
      <w:ind w:left="720"/>
      <w:contextualSpacing/>
    </w:pPr>
    <w:rPr>
      <w:rFonts w:ascii="Arial" w:eastAsia="Arial" w:hAnsi="Arial" w:cs="Arial"/>
      <w:sz w:val="22"/>
      <w:szCs w:val="22"/>
      <w:lang w:val="es" w:eastAsia="es-ES_tradnl"/>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B42E60"/>
    <w:rPr>
      <w:rFonts w:ascii="Arial" w:eastAsia="Arial" w:hAnsi="Arial" w:cs="Arial"/>
      <w:sz w:val="22"/>
      <w:szCs w:val="22"/>
      <w:lang w:val="es" w:eastAsia="es-ES_tradnl"/>
    </w:rPr>
  </w:style>
  <w:style w:type="paragraph" w:customStyle="1" w:styleId="t-tulos">
    <w:name w:val="t-tulos"/>
    <w:basedOn w:val="Normal"/>
    <w:rsid w:val="00CB1679"/>
    <w:pPr>
      <w:spacing w:before="100" w:beforeAutospacing="1" w:after="100" w:afterAutospacing="1"/>
    </w:pPr>
    <w:rPr>
      <w:lang w:val="es-CO" w:eastAsia="es-CO"/>
    </w:rPr>
  </w:style>
  <w:style w:type="paragraph" w:customStyle="1" w:styleId="enunciados">
    <w:name w:val="enunciados"/>
    <w:basedOn w:val="Normal"/>
    <w:rsid w:val="00CB1679"/>
    <w:pPr>
      <w:spacing w:before="100" w:beforeAutospacing="1" w:after="100" w:afterAutospacing="1"/>
    </w:pPr>
    <w:rPr>
      <w:lang w:val="es-CO" w:eastAsia="es-CO"/>
    </w:rPr>
  </w:style>
  <w:style w:type="paragraph" w:customStyle="1" w:styleId="estlos-gacetasp-rrafos">
    <w:name w:val="estlos-gacetas_p-rrafos"/>
    <w:basedOn w:val="Normal"/>
    <w:rsid w:val="00CB1679"/>
    <w:pPr>
      <w:spacing w:before="100" w:beforeAutospacing="1" w:after="100" w:afterAutospacing="1"/>
    </w:pPr>
    <w:rPr>
      <w:lang w:val="es-CO" w:eastAsia="es-CO"/>
    </w:rPr>
  </w:style>
  <w:style w:type="character" w:customStyle="1" w:styleId="charoverride-7">
    <w:name w:val="charoverride-7"/>
    <w:basedOn w:val="Fuentedeprrafopredeter"/>
    <w:rsid w:val="00CB1679"/>
  </w:style>
  <w:style w:type="character" w:customStyle="1" w:styleId="charoverride-8">
    <w:name w:val="charoverride-8"/>
    <w:basedOn w:val="Fuentedeprrafopredeter"/>
    <w:rsid w:val="00CB1679"/>
  </w:style>
  <w:style w:type="paragraph" w:customStyle="1" w:styleId="estlos-gacetasp-rrafos---tabulado">
    <w:name w:val="estlos-gacetas_p-rrafos---tabulado"/>
    <w:basedOn w:val="Normal"/>
    <w:rsid w:val="00CB1679"/>
    <w:pPr>
      <w:spacing w:before="100" w:beforeAutospacing="1" w:after="100" w:afterAutospacing="1"/>
    </w:pPr>
    <w:rPr>
      <w:lang w:val="es-CO" w:eastAsia="es-CO"/>
    </w:rPr>
  </w:style>
  <w:style w:type="character" w:customStyle="1" w:styleId="charoverride-9">
    <w:name w:val="charoverride-9"/>
    <w:basedOn w:val="Fuentedeprrafopredeter"/>
    <w:rsid w:val="00CB1679"/>
  </w:style>
  <w:style w:type="paragraph" w:customStyle="1" w:styleId="tablastitulo-tabla">
    <w:name w:val="tablas_titulo-tabla"/>
    <w:basedOn w:val="Normal"/>
    <w:rsid w:val="00CB1679"/>
    <w:pPr>
      <w:spacing w:before="100" w:beforeAutospacing="1" w:after="100" w:afterAutospacing="1"/>
    </w:pPr>
    <w:rPr>
      <w:lang w:val="es-CO" w:eastAsia="es-CO"/>
    </w:rPr>
  </w:style>
  <w:style w:type="paragraph" w:customStyle="1" w:styleId="tablastexto-tabla">
    <w:name w:val="tablas_texto-tabla"/>
    <w:basedOn w:val="Normal"/>
    <w:rsid w:val="00CB1679"/>
    <w:pPr>
      <w:spacing w:before="100" w:beforeAutospacing="1" w:after="100" w:afterAutospacing="1"/>
    </w:pPr>
    <w:rPr>
      <w:lang w:val="es-CO" w:eastAsia="es-CO"/>
    </w:rPr>
  </w:style>
  <w:style w:type="character" w:customStyle="1" w:styleId="charoverride-10">
    <w:name w:val="charoverride-10"/>
    <w:basedOn w:val="Fuentedeprrafopredeter"/>
    <w:rsid w:val="00CB1679"/>
  </w:style>
  <w:style w:type="character" w:styleId="Hipervnculo">
    <w:name w:val="Hyperlink"/>
    <w:basedOn w:val="Fuentedeprrafopredeter"/>
    <w:unhideWhenUsed/>
    <w:rsid w:val="00CB1679"/>
    <w:rPr>
      <w:color w:val="0000FF"/>
      <w:u w:val="single"/>
    </w:rPr>
  </w:style>
  <w:style w:type="character" w:customStyle="1" w:styleId="charoverride-11">
    <w:name w:val="charoverride-11"/>
    <w:basedOn w:val="Fuentedeprrafopredeter"/>
    <w:rsid w:val="00CB1679"/>
  </w:style>
  <w:style w:type="character" w:customStyle="1" w:styleId="charoverride-12">
    <w:name w:val="charoverride-12"/>
    <w:basedOn w:val="Fuentedeprrafopredeter"/>
    <w:rsid w:val="00CB1679"/>
  </w:style>
  <w:style w:type="character" w:customStyle="1" w:styleId="charoverride-13">
    <w:name w:val="charoverride-13"/>
    <w:basedOn w:val="Fuentedeprrafopredeter"/>
    <w:rsid w:val="00CB1679"/>
  </w:style>
  <w:style w:type="character" w:customStyle="1" w:styleId="charoverride-14">
    <w:name w:val="charoverride-14"/>
    <w:basedOn w:val="Fuentedeprrafopredeter"/>
    <w:rsid w:val="00CB1679"/>
  </w:style>
  <w:style w:type="paragraph" w:customStyle="1" w:styleId="estlos-gacetaspies-de-p-ginas">
    <w:name w:val="estlos-gacetas_pies-de-p-ginas"/>
    <w:basedOn w:val="Normal"/>
    <w:rsid w:val="00CB1679"/>
    <w:pPr>
      <w:spacing w:before="100" w:beforeAutospacing="1" w:after="100" w:afterAutospacing="1"/>
    </w:pPr>
    <w:rPr>
      <w:lang w:val="es-CO" w:eastAsia="es-CO"/>
    </w:rPr>
  </w:style>
  <w:style w:type="character" w:customStyle="1" w:styleId="superindice">
    <w:name w:val="superindice"/>
    <w:basedOn w:val="Fuentedeprrafopredeter"/>
    <w:rsid w:val="00CB1679"/>
  </w:style>
  <w:style w:type="character" w:customStyle="1" w:styleId="Hipervnculo1">
    <w:name w:val="Hipervínculo1"/>
    <w:basedOn w:val="Fuentedeprrafopredeter"/>
    <w:rsid w:val="00CB1679"/>
  </w:style>
  <w:style w:type="paragraph" w:customStyle="1" w:styleId="Default">
    <w:name w:val="Default"/>
    <w:rsid w:val="00CB1679"/>
    <w:pPr>
      <w:autoSpaceDE w:val="0"/>
      <w:autoSpaceDN w:val="0"/>
      <w:adjustRightInd w:val="0"/>
    </w:pPr>
    <w:rPr>
      <w:rFonts w:ascii="BFHUIW+TimesNewRomanPS-BoldMT" w:hAnsi="BFHUIW+TimesNewRomanPS-BoldMT" w:cs="BFHUIW+TimesNewRomanPS-BoldMT"/>
      <w:color w:val="000000"/>
      <w:lang w:val="en-US"/>
    </w:rPr>
  </w:style>
  <w:style w:type="paragraph" w:styleId="Piedepgina">
    <w:name w:val="footer"/>
    <w:basedOn w:val="Normal"/>
    <w:link w:val="PiedepginaCar"/>
    <w:uiPriority w:val="99"/>
    <w:unhideWhenUsed/>
    <w:rsid w:val="00CB167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CB1679"/>
    <w:rPr>
      <w:sz w:val="22"/>
      <w:szCs w:val="22"/>
      <w:lang w:val="es-CO"/>
    </w:rPr>
  </w:style>
  <w:style w:type="paragraph" w:styleId="Textoindependiente">
    <w:name w:val="Body Text"/>
    <w:basedOn w:val="Normal"/>
    <w:link w:val="TextoindependienteCar"/>
    <w:uiPriority w:val="1"/>
    <w:qFormat/>
    <w:rsid w:val="00CB1679"/>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CB1679"/>
    <w:rPr>
      <w:rFonts w:ascii="Times New Roman" w:eastAsia="Times New Roman" w:hAnsi="Times New Roman" w:cs="Times New Roman"/>
      <w:lang w:val="es-ES" w:eastAsia="es-ES" w:bidi="es-ES"/>
    </w:rPr>
  </w:style>
  <w:style w:type="paragraph" w:customStyle="1" w:styleId="Cuerpo">
    <w:name w:val="Cuerpo"/>
    <w:rsid w:val="00CB1679"/>
    <w:pPr>
      <w:pBdr>
        <w:top w:val="nil"/>
        <w:left w:val="nil"/>
        <w:bottom w:val="nil"/>
        <w:right w:val="nil"/>
        <w:between w:val="nil"/>
        <w:bar w:val="nil"/>
      </w:pBdr>
    </w:pPr>
    <w:rPr>
      <w:rFonts w:ascii="Times New Roman" w:eastAsia="Times New Roman" w:hAnsi="Times New Roman" w:cs="Times New Roman"/>
      <w:color w:val="000000"/>
      <w:u w:color="000000"/>
      <w:bdr w:val="nil"/>
      <w:lang w:val="es-CO" w:eastAsia="es-CO"/>
    </w:rPr>
  </w:style>
  <w:style w:type="paragraph" w:styleId="Sinespaciado">
    <w:name w:val="No Spacing"/>
    <w:uiPriority w:val="1"/>
    <w:qFormat/>
    <w:rsid w:val="00CB1679"/>
    <w:rPr>
      <w:sz w:val="22"/>
      <w:szCs w:val="22"/>
      <w:lang w:val="es-CO"/>
    </w:rPr>
  </w:style>
  <w:style w:type="paragraph" w:styleId="NormalWeb">
    <w:name w:val="Normal (Web)"/>
    <w:basedOn w:val="Normal"/>
    <w:uiPriority w:val="99"/>
    <w:unhideWhenUsed/>
    <w:rsid w:val="00CB1679"/>
    <w:pPr>
      <w:spacing w:before="100" w:beforeAutospacing="1" w:after="100" w:afterAutospacing="1"/>
    </w:pPr>
    <w:rPr>
      <w:lang w:val="es-CO" w:eastAsia="es-CO"/>
    </w:rPr>
  </w:style>
  <w:style w:type="character" w:styleId="nfasis">
    <w:name w:val="Emphasis"/>
    <w:basedOn w:val="Fuentedeprrafopredeter"/>
    <w:uiPriority w:val="20"/>
    <w:qFormat/>
    <w:rsid w:val="00CB1679"/>
    <w:rPr>
      <w:i/>
      <w:iCs/>
    </w:rPr>
  </w:style>
  <w:style w:type="character" w:customStyle="1" w:styleId="A3">
    <w:name w:val="A3"/>
    <w:uiPriority w:val="99"/>
    <w:rsid w:val="00CB1679"/>
    <w:rPr>
      <w:color w:val="080808"/>
    </w:rPr>
  </w:style>
  <w:style w:type="paragraph" w:customStyle="1" w:styleId="Pa32">
    <w:name w:val="Pa32"/>
    <w:basedOn w:val="Normal"/>
    <w:next w:val="Normal"/>
    <w:uiPriority w:val="99"/>
    <w:rsid w:val="00CB1679"/>
    <w:pPr>
      <w:widowControl w:val="0"/>
      <w:autoSpaceDE w:val="0"/>
      <w:autoSpaceDN w:val="0"/>
      <w:adjustRightInd w:val="0"/>
      <w:spacing w:line="231" w:lineRule="atLeast"/>
    </w:pPr>
    <w:rPr>
      <w:rFonts w:eastAsiaTheme="minorHAnsi"/>
      <w:lang w:val="es-ES" w:eastAsia="en-US"/>
    </w:rPr>
  </w:style>
  <w:style w:type="paragraph" w:customStyle="1" w:styleId="Pa34">
    <w:name w:val="Pa34"/>
    <w:basedOn w:val="Normal"/>
    <w:next w:val="Normal"/>
    <w:uiPriority w:val="99"/>
    <w:rsid w:val="00CB1679"/>
    <w:pPr>
      <w:widowControl w:val="0"/>
      <w:autoSpaceDE w:val="0"/>
      <w:autoSpaceDN w:val="0"/>
      <w:adjustRightInd w:val="0"/>
      <w:spacing w:line="231" w:lineRule="atLeast"/>
    </w:pPr>
    <w:rPr>
      <w:rFonts w:eastAsiaTheme="minorHAnsi"/>
      <w:lang w:val="es-ES" w:eastAsia="en-US"/>
    </w:rPr>
  </w:style>
  <w:style w:type="paragraph" w:customStyle="1" w:styleId="Pa35">
    <w:name w:val="Pa35"/>
    <w:basedOn w:val="Normal"/>
    <w:next w:val="Normal"/>
    <w:uiPriority w:val="99"/>
    <w:rsid w:val="00CB1679"/>
    <w:pPr>
      <w:widowControl w:val="0"/>
      <w:autoSpaceDE w:val="0"/>
      <w:autoSpaceDN w:val="0"/>
      <w:adjustRightInd w:val="0"/>
      <w:spacing w:line="231" w:lineRule="atLeast"/>
    </w:pPr>
    <w:rPr>
      <w:rFonts w:eastAsiaTheme="minorHAnsi"/>
      <w:lang w:val="es-ES" w:eastAsia="en-US"/>
    </w:rPr>
  </w:style>
  <w:style w:type="paragraph" w:customStyle="1" w:styleId="Encabezadoypie">
    <w:name w:val="Encabezado y pie"/>
    <w:rsid w:val="00CB1679"/>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CO" w:eastAsia="es-CO"/>
      <w14:textOutline w14:w="0" w14:cap="flat" w14:cmpd="sng" w14:algn="ctr">
        <w14:noFill/>
        <w14:prstDash w14:val="solid"/>
        <w14:bevel/>
      </w14:textOutline>
    </w:rPr>
  </w:style>
  <w:style w:type="character" w:customStyle="1" w:styleId="Ninguno">
    <w:name w:val="Ninguno"/>
    <w:rsid w:val="00CB1679"/>
  </w:style>
  <w:style w:type="numbering" w:customStyle="1" w:styleId="Estiloimportado1">
    <w:name w:val="Estilo importado 1"/>
    <w:rsid w:val="00CB1679"/>
    <w:pPr>
      <w:numPr>
        <w:numId w:val="27"/>
      </w:numPr>
    </w:pPr>
  </w:style>
  <w:style w:type="character" w:customStyle="1" w:styleId="Hyperlink0">
    <w:name w:val="Hyperlink.0"/>
    <w:basedOn w:val="Ninguno"/>
    <w:rsid w:val="00CB1679"/>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CB1679"/>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CB1679"/>
    <w:pPr>
      <w:numPr>
        <w:numId w:val="28"/>
      </w:numPr>
    </w:pPr>
  </w:style>
  <w:style w:type="numbering" w:customStyle="1" w:styleId="Estiloimportado3">
    <w:name w:val="Estilo importado 3"/>
    <w:rsid w:val="00CB1679"/>
    <w:pPr>
      <w:numPr>
        <w:numId w:val="29"/>
      </w:numPr>
    </w:pPr>
  </w:style>
  <w:style w:type="numbering" w:customStyle="1" w:styleId="Estiloimportado4">
    <w:name w:val="Estilo importado 4"/>
    <w:rsid w:val="00CB1679"/>
    <w:pPr>
      <w:numPr>
        <w:numId w:val="30"/>
      </w:numPr>
    </w:pPr>
  </w:style>
  <w:style w:type="numbering" w:customStyle="1" w:styleId="Estiloimportado8">
    <w:name w:val="Estilo importado 8"/>
    <w:rsid w:val="00CB1679"/>
    <w:pPr>
      <w:numPr>
        <w:numId w:val="31"/>
      </w:numPr>
    </w:pPr>
  </w:style>
  <w:style w:type="numbering" w:customStyle="1" w:styleId="Estiloimportado9">
    <w:name w:val="Estilo importado 9"/>
    <w:rsid w:val="00CB1679"/>
    <w:pPr>
      <w:numPr>
        <w:numId w:val="32"/>
      </w:numPr>
    </w:pPr>
  </w:style>
  <w:style w:type="numbering" w:customStyle="1" w:styleId="Estiloimportado10">
    <w:name w:val="Estilo importado 10"/>
    <w:rsid w:val="00CB1679"/>
    <w:pPr>
      <w:numPr>
        <w:numId w:val="33"/>
      </w:numPr>
    </w:pPr>
  </w:style>
  <w:style w:type="numbering" w:customStyle="1" w:styleId="Estiloimportado11">
    <w:name w:val="Estilo importado 11"/>
    <w:rsid w:val="00CB1679"/>
    <w:pPr>
      <w:numPr>
        <w:numId w:val="34"/>
      </w:numPr>
    </w:pPr>
  </w:style>
  <w:style w:type="numbering" w:customStyle="1" w:styleId="Estiloimportado12">
    <w:name w:val="Estilo importado 12"/>
    <w:rsid w:val="00CB1679"/>
    <w:pPr>
      <w:numPr>
        <w:numId w:val="35"/>
      </w:numPr>
    </w:pPr>
  </w:style>
  <w:style w:type="numbering" w:customStyle="1" w:styleId="Estiloimportado13">
    <w:name w:val="Estilo importado 13"/>
    <w:rsid w:val="00CB1679"/>
    <w:pPr>
      <w:numPr>
        <w:numId w:val="36"/>
      </w:numPr>
    </w:pPr>
  </w:style>
  <w:style w:type="numbering" w:customStyle="1" w:styleId="Estiloimportado14">
    <w:name w:val="Estilo importado 14"/>
    <w:rsid w:val="00CB1679"/>
    <w:pPr>
      <w:numPr>
        <w:numId w:val="37"/>
      </w:numPr>
    </w:pPr>
  </w:style>
  <w:style w:type="numbering" w:customStyle="1" w:styleId="Estiloimportado15">
    <w:name w:val="Estilo importado 15"/>
    <w:rsid w:val="00CB1679"/>
    <w:pPr>
      <w:numPr>
        <w:numId w:val="38"/>
      </w:numPr>
    </w:pPr>
  </w:style>
  <w:style w:type="numbering" w:customStyle="1" w:styleId="Estiloimportado16">
    <w:name w:val="Estilo importado 16"/>
    <w:rsid w:val="00CB1679"/>
    <w:pPr>
      <w:numPr>
        <w:numId w:val="39"/>
      </w:numPr>
    </w:pPr>
  </w:style>
  <w:style w:type="numbering" w:customStyle="1" w:styleId="Estiloimportado17">
    <w:name w:val="Estilo importado 17"/>
    <w:rsid w:val="00CB1679"/>
    <w:pPr>
      <w:numPr>
        <w:numId w:val="40"/>
      </w:numPr>
    </w:pPr>
  </w:style>
  <w:style w:type="numbering" w:customStyle="1" w:styleId="Estiloimportado18">
    <w:name w:val="Estilo importado 18"/>
    <w:rsid w:val="00CB1679"/>
    <w:pPr>
      <w:numPr>
        <w:numId w:val="41"/>
      </w:numPr>
    </w:pPr>
  </w:style>
  <w:style w:type="numbering" w:customStyle="1" w:styleId="Estiloimportado19">
    <w:name w:val="Estilo importado 19"/>
    <w:rsid w:val="00CB1679"/>
    <w:pPr>
      <w:numPr>
        <w:numId w:val="42"/>
      </w:numPr>
    </w:pPr>
  </w:style>
  <w:style w:type="numbering" w:customStyle="1" w:styleId="Estiloimportado20">
    <w:name w:val="Estilo importado 20"/>
    <w:rsid w:val="00CB1679"/>
    <w:pPr>
      <w:numPr>
        <w:numId w:val="43"/>
      </w:numPr>
    </w:pPr>
  </w:style>
  <w:style w:type="numbering" w:customStyle="1" w:styleId="Estiloimportado21">
    <w:name w:val="Estilo importado 21"/>
    <w:rsid w:val="00CB1679"/>
    <w:pPr>
      <w:numPr>
        <w:numId w:val="44"/>
      </w:numPr>
    </w:pPr>
  </w:style>
  <w:style w:type="numbering" w:customStyle="1" w:styleId="Estiloimportado22">
    <w:name w:val="Estilo importado 22"/>
    <w:rsid w:val="00CB1679"/>
    <w:pPr>
      <w:numPr>
        <w:numId w:val="45"/>
      </w:numPr>
    </w:pPr>
  </w:style>
  <w:style w:type="numbering" w:customStyle="1" w:styleId="Estiloimportado23">
    <w:name w:val="Estilo importado 23"/>
    <w:rsid w:val="00CB1679"/>
    <w:pPr>
      <w:numPr>
        <w:numId w:val="46"/>
      </w:numPr>
    </w:pPr>
  </w:style>
  <w:style w:type="numbering" w:customStyle="1" w:styleId="Estiloimportado24">
    <w:name w:val="Estilo importado 24"/>
    <w:rsid w:val="00CB1679"/>
    <w:pPr>
      <w:numPr>
        <w:numId w:val="47"/>
      </w:numPr>
    </w:pPr>
  </w:style>
  <w:style w:type="numbering" w:customStyle="1" w:styleId="Estiloimportado25">
    <w:name w:val="Estilo importado 25"/>
    <w:rsid w:val="00CB1679"/>
    <w:pPr>
      <w:numPr>
        <w:numId w:val="48"/>
      </w:numPr>
    </w:pPr>
  </w:style>
  <w:style w:type="numbering" w:customStyle="1" w:styleId="Estiloimportado26">
    <w:name w:val="Estilo importado 26"/>
    <w:rsid w:val="00CB1679"/>
    <w:pPr>
      <w:numPr>
        <w:numId w:val="49"/>
      </w:numPr>
    </w:pPr>
  </w:style>
  <w:style w:type="numbering" w:customStyle="1" w:styleId="Estiloimportado27">
    <w:name w:val="Estilo importado 27"/>
    <w:rsid w:val="00CB1679"/>
    <w:pPr>
      <w:numPr>
        <w:numId w:val="50"/>
      </w:numPr>
    </w:pPr>
  </w:style>
  <w:style w:type="numbering" w:customStyle="1" w:styleId="Estiloimportado28">
    <w:name w:val="Estilo importado 28"/>
    <w:rsid w:val="00CB1679"/>
    <w:pPr>
      <w:numPr>
        <w:numId w:val="51"/>
      </w:numPr>
    </w:pPr>
  </w:style>
  <w:style w:type="numbering" w:customStyle="1" w:styleId="Estiloimportado29">
    <w:name w:val="Estilo importado 29"/>
    <w:rsid w:val="00CB1679"/>
    <w:pPr>
      <w:numPr>
        <w:numId w:val="52"/>
      </w:numPr>
    </w:pPr>
  </w:style>
  <w:style w:type="numbering" w:customStyle="1" w:styleId="Estiloimportado30">
    <w:name w:val="Estilo importado 30"/>
    <w:rsid w:val="00CB1679"/>
    <w:pPr>
      <w:numPr>
        <w:numId w:val="53"/>
      </w:numPr>
    </w:pPr>
  </w:style>
  <w:style w:type="numbering" w:customStyle="1" w:styleId="Estiloimportado31">
    <w:name w:val="Estilo importado 31"/>
    <w:rsid w:val="00CB1679"/>
    <w:pPr>
      <w:numPr>
        <w:numId w:val="54"/>
      </w:numPr>
    </w:pPr>
  </w:style>
  <w:style w:type="numbering" w:customStyle="1" w:styleId="Estiloimportado32">
    <w:name w:val="Estilo importado 32"/>
    <w:rsid w:val="00CB1679"/>
    <w:pPr>
      <w:numPr>
        <w:numId w:val="55"/>
      </w:numPr>
    </w:pPr>
  </w:style>
  <w:style w:type="numbering" w:customStyle="1" w:styleId="Estiloimportado33">
    <w:name w:val="Estilo importado 33"/>
    <w:rsid w:val="00CB1679"/>
    <w:pPr>
      <w:numPr>
        <w:numId w:val="56"/>
      </w:numPr>
    </w:pPr>
  </w:style>
  <w:style w:type="numbering" w:customStyle="1" w:styleId="Estiloimportado34">
    <w:name w:val="Estilo importado 34"/>
    <w:rsid w:val="00CB1679"/>
    <w:pPr>
      <w:numPr>
        <w:numId w:val="57"/>
      </w:numPr>
    </w:pPr>
  </w:style>
  <w:style w:type="numbering" w:customStyle="1" w:styleId="Estiloimportado35">
    <w:name w:val="Estilo importado 35"/>
    <w:rsid w:val="00CB1679"/>
    <w:pPr>
      <w:numPr>
        <w:numId w:val="58"/>
      </w:numPr>
    </w:pPr>
  </w:style>
  <w:style w:type="numbering" w:customStyle="1" w:styleId="Estiloimportado36">
    <w:name w:val="Estilo importado 36"/>
    <w:rsid w:val="00CB1679"/>
    <w:pPr>
      <w:numPr>
        <w:numId w:val="59"/>
      </w:numPr>
    </w:pPr>
  </w:style>
  <w:style w:type="numbering" w:customStyle="1" w:styleId="Estiloimportado37">
    <w:name w:val="Estilo importado 37"/>
    <w:rsid w:val="00CB1679"/>
    <w:pPr>
      <w:numPr>
        <w:numId w:val="60"/>
      </w:numPr>
    </w:pPr>
  </w:style>
  <w:style w:type="numbering" w:customStyle="1" w:styleId="Estiloimportado38">
    <w:name w:val="Estilo importado 38"/>
    <w:rsid w:val="00CB1679"/>
    <w:pPr>
      <w:numPr>
        <w:numId w:val="61"/>
      </w:numPr>
    </w:pPr>
  </w:style>
  <w:style w:type="numbering" w:customStyle="1" w:styleId="Estiloimportado39">
    <w:name w:val="Estilo importado 39"/>
    <w:rsid w:val="00CB1679"/>
    <w:pPr>
      <w:numPr>
        <w:numId w:val="62"/>
      </w:numPr>
    </w:pPr>
  </w:style>
  <w:style w:type="numbering" w:customStyle="1" w:styleId="Estiloimportado40">
    <w:name w:val="Estilo importado 40"/>
    <w:rsid w:val="00CB1679"/>
    <w:pPr>
      <w:numPr>
        <w:numId w:val="63"/>
      </w:numPr>
    </w:pPr>
  </w:style>
  <w:style w:type="numbering" w:customStyle="1" w:styleId="Estiloimportado41">
    <w:name w:val="Estilo importado 41"/>
    <w:rsid w:val="00CB1679"/>
    <w:pPr>
      <w:numPr>
        <w:numId w:val="64"/>
      </w:numPr>
    </w:pPr>
  </w:style>
  <w:style w:type="numbering" w:customStyle="1" w:styleId="Estiloimportado42">
    <w:name w:val="Estilo importado 42"/>
    <w:rsid w:val="00CB1679"/>
    <w:pPr>
      <w:numPr>
        <w:numId w:val="65"/>
      </w:numPr>
    </w:pPr>
  </w:style>
  <w:style w:type="numbering" w:customStyle="1" w:styleId="Estiloimportado43">
    <w:name w:val="Estilo importado 43"/>
    <w:rsid w:val="00CB1679"/>
    <w:pPr>
      <w:numPr>
        <w:numId w:val="66"/>
      </w:numPr>
    </w:pPr>
  </w:style>
  <w:style w:type="numbering" w:customStyle="1" w:styleId="Estiloimportado44">
    <w:name w:val="Estilo importado 44"/>
    <w:rsid w:val="00CB1679"/>
    <w:pPr>
      <w:numPr>
        <w:numId w:val="67"/>
      </w:numPr>
    </w:pPr>
  </w:style>
  <w:style w:type="numbering" w:customStyle="1" w:styleId="Estiloimportado45">
    <w:name w:val="Estilo importado 45"/>
    <w:rsid w:val="00CB1679"/>
    <w:pPr>
      <w:numPr>
        <w:numId w:val="68"/>
      </w:numPr>
    </w:pPr>
  </w:style>
  <w:style w:type="numbering" w:customStyle="1" w:styleId="Estiloimportado46">
    <w:name w:val="Estilo importado 46"/>
    <w:rsid w:val="00CB1679"/>
    <w:pPr>
      <w:numPr>
        <w:numId w:val="69"/>
      </w:numPr>
    </w:pPr>
  </w:style>
  <w:style w:type="numbering" w:customStyle="1" w:styleId="Estiloimportado47">
    <w:name w:val="Estilo importado 47"/>
    <w:rsid w:val="00CB1679"/>
    <w:pPr>
      <w:numPr>
        <w:numId w:val="70"/>
      </w:numPr>
    </w:pPr>
  </w:style>
  <w:style w:type="numbering" w:customStyle="1" w:styleId="Estiloimportado48">
    <w:name w:val="Estilo importado 48"/>
    <w:rsid w:val="00CB1679"/>
    <w:pPr>
      <w:numPr>
        <w:numId w:val="71"/>
      </w:numPr>
    </w:pPr>
  </w:style>
  <w:style w:type="numbering" w:customStyle="1" w:styleId="Estiloimportado49">
    <w:name w:val="Estilo importado 49"/>
    <w:rsid w:val="00CB1679"/>
    <w:pPr>
      <w:numPr>
        <w:numId w:val="72"/>
      </w:numPr>
    </w:pPr>
  </w:style>
  <w:style w:type="numbering" w:customStyle="1" w:styleId="Estiloimportado50">
    <w:name w:val="Estilo importado 50"/>
    <w:rsid w:val="00CB1679"/>
    <w:pPr>
      <w:numPr>
        <w:numId w:val="73"/>
      </w:numPr>
    </w:pPr>
  </w:style>
  <w:style w:type="numbering" w:customStyle="1" w:styleId="Estiloimportado51">
    <w:name w:val="Estilo importado 51"/>
    <w:rsid w:val="00CB1679"/>
    <w:pPr>
      <w:numPr>
        <w:numId w:val="74"/>
      </w:numPr>
    </w:pPr>
  </w:style>
  <w:style w:type="numbering" w:customStyle="1" w:styleId="Estiloimportado52">
    <w:name w:val="Estilo importado 52"/>
    <w:rsid w:val="00CB1679"/>
    <w:pPr>
      <w:numPr>
        <w:numId w:val="75"/>
      </w:numPr>
    </w:pPr>
  </w:style>
  <w:style w:type="numbering" w:customStyle="1" w:styleId="Estiloimportado53">
    <w:name w:val="Estilo importado 53"/>
    <w:rsid w:val="00CB1679"/>
    <w:pPr>
      <w:numPr>
        <w:numId w:val="76"/>
      </w:numPr>
    </w:pPr>
  </w:style>
  <w:style w:type="numbering" w:customStyle="1" w:styleId="Estiloimportado54">
    <w:name w:val="Estilo importado 54"/>
    <w:rsid w:val="00CB1679"/>
    <w:pPr>
      <w:numPr>
        <w:numId w:val="77"/>
      </w:numPr>
    </w:pPr>
  </w:style>
  <w:style w:type="paragraph" w:customStyle="1" w:styleId="Pa12">
    <w:name w:val="Pa12"/>
    <w:basedOn w:val="Default"/>
    <w:next w:val="Default"/>
    <w:uiPriority w:val="99"/>
    <w:rsid w:val="00CB1679"/>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CB1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index.php/estadisticas-por-tema/seguridad-y-defensa/encuesta-de-convivencia-y-seguridad-ciudadana-ec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3857CD-DE75-4B1B-A1D0-F2E34963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2409</Words>
  <Characters>13254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Aura Esther Alvarez Rico</cp:lastModifiedBy>
  <cp:revision>2</cp:revision>
  <cp:lastPrinted>2021-11-10T18:30:00Z</cp:lastPrinted>
  <dcterms:created xsi:type="dcterms:W3CDTF">2021-11-10T20:03:00Z</dcterms:created>
  <dcterms:modified xsi:type="dcterms:W3CDTF">2021-11-10T20:03:00Z</dcterms:modified>
</cp:coreProperties>
</file>